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Theme="minorEastAsia"/>
          <w:bCs/>
          <w:color w:val="000000" w:themeColor="text1"/>
          <w:sz w:val="32"/>
          <w:szCs w:val="32"/>
        </w:rPr>
      </w:pPr>
      <w:r>
        <w:rPr>
          <w:rFonts w:ascii="Times New Roman" w:hAnsi="Times New Roman" w:eastAsiaTheme="minorEastAsia"/>
          <w:bCs/>
          <w:color w:val="000000" w:themeColor="text1"/>
          <w:sz w:val="32"/>
          <w:szCs w:val="32"/>
        </w:rPr>
        <w:t>附件1：</w:t>
      </w:r>
    </w:p>
    <w:p>
      <w:pPr>
        <w:spacing w:line="560" w:lineRule="exact"/>
        <w:jc w:val="center"/>
        <w:rPr>
          <w:rFonts w:ascii="Times New Roman" w:hAnsi="Times New Roman" w:eastAsia="方正小标宋简体"/>
          <w:b/>
          <w:color w:val="000000" w:themeColor="text1"/>
          <w:sz w:val="44"/>
          <w:szCs w:val="44"/>
        </w:rPr>
      </w:pPr>
      <w:r>
        <w:rPr>
          <w:rFonts w:ascii="Times New Roman" w:hAnsi="Times New Roman" w:eastAsia="方正小标宋简体"/>
          <w:b/>
          <w:color w:val="000000" w:themeColor="text1"/>
          <w:sz w:val="44"/>
          <w:szCs w:val="44"/>
        </w:rPr>
        <w:pict>
          <v:shape id="AutoShape 2" o:spid="_x0000_s1026" o:spt="136" type="#_x0000_t136" style="position:absolute;left:0pt;margin-left:-2.3pt;margin-top:1.8pt;height:59.45pt;width:428.1pt;z-index:251658240;mso-width-relative:page;mso-height-relative:page;" fillcolor="#FF0000" filled="t" stroked="t" coordsize="21600,21600">
            <v:path/>
            <v:fill on="t" focussize="0,0"/>
            <v:stroke color="#FF0000" miterlimit="2"/>
            <v:imagedata o:title=""/>
            <o:lock v:ext="edit" text="f"/>
            <v:textpath on="t" fitshape="t" fitpath="t" trim="t" xscale="f" string="贵州大学化学与化工学院文件" style="font-family:华文中宋;font-size:36pt;v-text-align:center;"/>
          </v:shape>
        </w:pict>
      </w:r>
    </w:p>
    <w:p>
      <w:pPr>
        <w:spacing w:line="560" w:lineRule="exact"/>
        <w:jc w:val="center"/>
        <w:rPr>
          <w:rFonts w:ascii="Times New Roman" w:hAnsi="Times New Roman" w:eastAsia="方正小标宋简体"/>
          <w:b/>
          <w:color w:val="000000" w:themeColor="text1"/>
          <w:sz w:val="44"/>
          <w:szCs w:val="44"/>
        </w:rPr>
      </w:pPr>
    </w:p>
    <w:p>
      <w:pPr>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院字[2020]22号</w:t>
      </w:r>
    </w:p>
    <w:p>
      <w:pPr>
        <w:pStyle w:val="2"/>
        <w:spacing w:line="560" w:lineRule="exact"/>
        <w:jc w:val="center"/>
        <w:rPr>
          <w:rFonts w:eastAsia="楷体_GB2312"/>
          <w:color w:val="000000" w:themeColor="text1"/>
          <w:szCs w:val="22"/>
        </w:rPr>
      </w:pPr>
      <w:r>
        <w:rPr>
          <w:color w:val="000000" w:themeColor="text1"/>
        </w:rPr>
        <w:pict>
          <v:line id="_x0000_s1032" o:spid="_x0000_s1032" o:spt="20" style="position:absolute;left:0pt;margin-left:-3.05pt;margin-top:5.05pt;height:0pt;width:464.75pt;z-index:251659264;mso-width-relative:page;mso-height-relative:page;" stroked="t" coordsize="21600,21600" o:gfxdata="UEsDBAoAAAAAAIdO4kAAAAAAAAAAAAAAAAAEAAAAZHJzL1BLAwQUAAAACACHTuJArsfx+9cAAAAI&#10;AQAADwAAAGRycy9kb3ducmV2LnhtbE2PMU/DMBCFdyT+g3VIbK2TgkIJcTpEQmVAqhoY6ObGRxJh&#10;n6PYbcK/5xADnU733tO774rN7Kw44xh6TwrSZQICqfGmp1bB+9vzYg0iRE1GW0+o4BsDbMrrq0Ln&#10;xk+0x3MdW8ElFHKtoItxyKUMTYdOh6UfkNj79KPTkdexlWbUE5c7K1dJkkmne+ILnR6w6rD5qk9O&#10;wcduuxteqyrzL4ftNLdZWu8frFK3N2nyBCLiHP/D8IvP6FAy09GfyARhFSyylJOsJzzZf1zd3YM4&#10;/gmyLOTlA+UPUEsDBBQAAAAIAIdO4kAgfg1A1wEAAJkDAAAOAAAAZHJzL2Uyb0RvYy54bWytU0uO&#10;EzEQ3SNxB8t70p2gIKaVziwmhA2CSMABKra725J/cpl0cgkugMQOVizZcxuGY1B2mjDABiGyqFTZ&#10;z8/1nqtX10dr2EFF1N61fD6rOVNOeKld3/LXr7YPHnOGCZwE451q+Ukhv17fv7caQ6MWfvBGqsiI&#10;xGEzhpYPKYWmqlAMygLOfFCONjsfLSQqY1/JCCOxW1Mt6vpRNfooQ/RCIdLq5rzJ14W/65RIL7oO&#10;VWKm5dRbKjGWuM+xWq+g6SOEQYupDfiHLixoR5deqDaQgL2J+g8qq0X06Ls0E95Wvuu0UEUDqZnX&#10;v6l5OUBQRQuZg+FiE/4/WvH8sItMy5YvOXNg6Ylu333++vbDty/vKd5++siW2aQxYEPYG7eLU4Vh&#10;F7PiYxdt/ict7FiMPV2MVcfEBC0ur+rFwwXdIGhvnvmqnwdDxPRUecty0nKjXdYMDRyeYTpDf0Dy&#10;snFsJJKreknvKYBmpjOQKLWBVKDry2H0RsutNiYfwdjvb0xkB6Ap2G5r+k09/ALLt2wAhzOubGUY&#10;NIMC+cRJlk6B/HE0yDz3YJXkzCia+5wVZAJt/gZJ8o3L1KrM6CQ0m3y2NWd7L0/F7SpX9P7FtWlW&#10;84DdrSm/+0Wtv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ux/H71wAAAAgBAAAPAAAAAAAAAAEA&#10;IAAAACIAAABkcnMvZG93bnJldi54bWxQSwECFAAUAAAACACHTuJAIH4NQNcBAACZAwAADgAAAAAA&#10;AAABACAAAAAmAQAAZHJzL2Uyb0RvYy54bWxQSwUGAAAAAAYABgBZAQAAbwUAAAAA&#10;">
            <v:path arrowok="t"/>
            <v:fill focussize="0,0"/>
            <v:stroke weight="1.5pt" color="#FF0000"/>
            <v:imagedata o:title=""/>
            <o:lock v:ext="edit"/>
          </v:line>
        </w:pict>
      </w:r>
    </w:p>
    <w:p>
      <w:pPr>
        <w:spacing w:line="560" w:lineRule="exact"/>
        <w:jc w:val="center"/>
        <w:rPr>
          <w:rFonts w:ascii="Times New Roman" w:hAnsi="Times New Roman" w:eastAsia="方正小标宋简体"/>
          <w:b/>
          <w:color w:val="000000" w:themeColor="text1"/>
          <w:sz w:val="44"/>
          <w:szCs w:val="44"/>
        </w:rPr>
      </w:pPr>
      <w:r>
        <w:rPr>
          <w:rFonts w:ascii="Times New Roman" w:hAnsi="Times New Roman" w:eastAsia="方正小标宋简体"/>
          <w:b/>
          <w:color w:val="000000" w:themeColor="text1"/>
          <w:sz w:val="44"/>
          <w:szCs w:val="44"/>
        </w:rPr>
        <w:t>贵州大学化学与化工学院研究生综合测评实施细则（2020年）（适用2019级及以后）</w:t>
      </w:r>
    </w:p>
    <w:p>
      <w:pPr>
        <w:spacing w:line="500" w:lineRule="exact"/>
        <w:ind w:firstLine="680" w:firstLineChars="200"/>
        <w:rPr>
          <w:rFonts w:ascii="Times New Roman" w:hAnsi="Times New Roman" w:eastAsia="仿宋_GB2312"/>
          <w:color w:val="000000" w:themeColor="text1"/>
          <w:sz w:val="34"/>
          <w:szCs w:val="34"/>
        </w:rPr>
      </w:pPr>
    </w:p>
    <w:p>
      <w:pPr>
        <w:numPr>
          <w:ilvl w:val="0"/>
          <w:numId w:val="1"/>
        </w:numPr>
        <w:spacing w:afterLines="50" w:line="500" w:lineRule="exact"/>
        <w:ind w:left="4417" w:hanging="1179"/>
        <w:rPr>
          <w:rFonts w:ascii="Times New Roman" w:hAnsi="Times New Roman" w:eastAsia="楷体_GB2312"/>
          <w:b/>
          <w:color w:val="000000" w:themeColor="text1"/>
          <w:sz w:val="32"/>
          <w:szCs w:val="32"/>
        </w:rPr>
      </w:pPr>
      <w:r>
        <w:rPr>
          <w:rFonts w:ascii="Times New Roman" w:hAnsi="Times New Roman" w:eastAsia="楷体_GB2312"/>
          <w:b/>
          <w:color w:val="000000" w:themeColor="text1"/>
          <w:sz w:val="32"/>
          <w:szCs w:val="32"/>
        </w:rPr>
        <w:t xml:space="preserve">总则 </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第一条</w:t>
      </w:r>
      <w:r>
        <w:rPr>
          <w:rFonts w:ascii="Times New Roman" w:hAnsi="Times New Roman" w:eastAsia="仿宋_GB2312"/>
          <w:color w:val="000000" w:themeColor="text1"/>
          <w:sz w:val="32"/>
          <w:szCs w:val="32"/>
        </w:rPr>
        <w:t xml:space="preserve"> 研究生综合成绩测评是奖学金评审的重要依据。根据《贵州大学研究生奖学金评定办法》（贵大发[2018]153号）、《贵州大学研究生奖学金评定办法》（贵大发〔2019〕129号），结合化学与化工学院具体情况，特制定《贵州大学化学与化工学院研究生综合测评实施细则（2020）》(以下简称《细则》)。</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第二条</w:t>
      </w:r>
      <w:r>
        <w:rPr>
          <w:rFonts w:ascii="Times New Roman" w:hAnsi="Times New Roman" w:eastAsia="仿宋_GB2312"/>
          <w:color w:val="000000" w:themeColor="text1"/>
          <w:sz w:val="32"/>
          <w:szCs w:val="32"/>
        </w:rPr>
        <w:t xml:space="preserve"> 《细则》适用于正式注册的纳入全国研究生招生计划的全日制脱产学习博士、硕士研究生。</w:t>
      </w:r>
    </w:p>
    <w:p>
      <w:pPr>
        <w:spacing w:line="520" w:lineRule="exact"/>
        <w:rPr>
          <w:rFonts w:ascii="Times New Roman" w:hAnsi="Times New Roman" w:eastAsia="仿宋_GB2312"/>
          <w:b/>
          <w:color w:val="000000" w:themeColor="text1"/>
          <w:sz w:val="32"/>
          <w:szCs w:val="32"/>
        </w:rPr>
      </w:pPr>
    </w:p>
    <w:p>
      <w:pPr>
        <w:spacing w:line="520" w:lineRule="exact"/>
        <w:ind w:firstLine="643" w:firstLineChars="200"/>
        <w:rPr>
          <w:rFonts w:ascii="Times New Roman" w:hAnsi="Times New Roman" w:eastAsia="楷体_GB2312"/>
          <w:b/>
          <w:color w:val="000000" w:themeColor="text1"/>
          <w:sz w:val="32"/>
          <w:szCs w:val="32"/>
        </w:rPr>
      </w:pPr>
      <w:r>
        <w:rPr>
          <w:rFonts w:ascii="Times New Roman" w:hAnsi="Times New Roman" w:eastAsia="仿宋_GB2312"/>
          <w:b/>
          <w:color w:val="000000" w:themeColor="text1"/>
          <w:sz w:val="32"/>
          <w:szCs w:val="32"/>
        </w:rPr>
        <w:t xml:space="preserve">      </w:t>
      </w:r>
      <w:r>
        <w:rPr>
          <w:rFonts w:ascii="Times New Roman" w:hAnsi="Times New Roman" w:eastAsia="楷体_GB2312"/>
          <w:b/>
          <w:color w:val="000000" w:themeColor="text1"/>
          <w:sz w:val="32"/>
          <w:szCs w:val="32"/>
        </w:rPr>
        <w:t xml:space="preserve">      第二章 总成绩测评分数 </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第三条</w:t>
      </w:r>
      <w:r>
        <w:rPr>
          <w:rFonts w:ascii="Times New Roman" w:hAnsi="Times New Roman" w:eastAsia="仿宋_GB2312"/>
          <w:color w:val="000000" w:themeColor="text1"/>
          <w:sz w:val="32"/>
          <w:szCs w:val="32"/>
        </w:rPr>
        <w:t xml:space="preserve"> 总成绩由思想政治分、课程综合成绩和科研分组成，权重及计算方法如下：</w:t>
      </w:r>
    </w:p>
    <w:p>
      <w:pP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drawing>
          <wp:inline distT="0" distB="0" distL="114300" distR="114300">
            <wp:extent cx="4112260" cy="905510"/>
            <wp:effectExtent l="0" t="0" r="2540" b="8890"/>
            <wp:docPr id="12" name="图片 33" descr="daum_equation_153353030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3" descr="daum_equation_1533530305425"/>
                    <pic:cNvPicPr>
                      <a:picLocks noChangeAspect="1"/>
                    </pic:cNvPicPr>
                  </pic:nvPicPr>
                  <pic:blipFill>
                    <a:blip r:embed="rId5" cstate="print"/>
                    <a:stretch>
                      <a:fillRect/>
                    </a:stretch>
                  </pic:blipFill>
                  <pic:spPr>
                    <a:xfrm>
                      <a:off x="0" y="0"/>
                      <a:ext cx="4112260" cy="905510"/>
                    </a:xfrm>
                    <a:prstGeom prst="rect">
                      <a:avLst/>
                    </a:prstGeom>
                    <a:noFill/>
                    <a:ln>
                      <a:noFill/>
                    </a:ln>
                  </pic:spPr>
                </pic:pic>
              </a:graphicData>
            </a:graphic>
          </wp:inline>
        </w:drawing>
      </w:r>
    </w:p>
    <w:p>
      <w:pPr>
        <w:spacing w:line="500" w:lineRule="exac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式中：A为思想政治分，B为课程综合成绩，C为科研分，均按百分制计分。</w:t>
      </w:r>
    </w:p>
    <w:p>
      <w:pPr>
        <w:spacing w:line="500" w:lineRule="exact"/>
        <w:ind w:firstLine="643" w:firstLineChars="200"/>
        <w:rPr>
          <w:rFonts w:ascii="Times New Roman" w:hAnsi="Times New Roman" w:eastAsia="仿宋_GB2312"/>
          <w:b/>
          <w:color w:val="000000" w:themeColor="text1"/>
          <w:sz w:val="32"/>
          <w:szCs w:val="32"/>
        </w:rPr>
      </w:pPr>
    </w:p>
    <w:p>
      <w:pPr>
        <w:jc w:val="center"/>
        <w:rPr>
          <w:rFonts w:ascii="Times New Roman" w:hAnsi="Times New Roman" w:eastAsia="楷体_GB2312"/>
          <w:b/>
          <w:color w:val="000000" w:themeColor="text1"/>
          <w:sz w:val="32"/>
          <w:szCs w:val="32"/>
        </w:rPr>
      </w:pPr>
      <w:r>
        <w:rPr>
          <w:rFonts w:ascii="Times New Roman" w:hAnsi="Times New Roman" w:eastAsia="仿宋_GB2312"/>
          <w:b/>
          <w:color w:val="000000" w:themeColor="text1"/>
          <w:sz w:val="32"/>
          <w:szCs w:val="32"/>
        </w:rPr>
        <w:t xml:space="preserve">   </w:t>
      </w:r>
      <w:r>
        <w:rPr>
          <w:rFonts w:ascii="Times New Roman" w:hAnsi="Times New Roman" w:eastAsia="楷体_GB2312"/>
          <w:b/>
          <w:color w:val="000000" w:themeColor="text1"/>
          <w:sz w:val="32"/>
          <w:szCs w:val="32"/>
        </w:rPr>
        <w:t xml:space="preserve">第三章 思想政治测评分数 </w:t>
      </w:r>
    </w:p>
    <w:p>
      <w:pPr>
        <w:spacing w:line="520" w:lineRule="exact"/>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 xml:space="preserve">    第四条</w:t>
      </w:r>
      <w:r>
        <w:rPr>
          <w:rFonts w:ascii="Times New Roman" w:hAnsi="Times New Roman" w:eastAsia="仿宋_GB2312"/>
          <w:color w:val="000000" w:themeColor="text1"/>
          <w:sz w:val="32"/>
          <w:szCs w:val="32"/>
        </w:rPr>
        <w:t xml:space="preserve"> 思想政治（A）分包括四个部分，即思想政治分A（100%）=导师评分A</w:t>
      </w:r>
      <w:r>
        <w:rPr>
          <w:rFonts w:ascii="Times New Roman" w:hAnsi="Times New Roman" w:eastAsia="仿宋_GB2312"/>
          <w:b/>
          <w:color w:val="000000" w:themeColor="text1"/>
          <w:sz w:val="32"/>
          <w:szCs w:val="32"/>
          <w:vertAlign w:val="subscript"/>
        </w:rPr>
        <w:t>1</w:t>
      </w:r>
      <w:r>
        <w:rPr>
          <w:rFonts w:ascii="Times New Roman" w:hAnsi="Times New Roman" w:eastAsia="仿宋_GB2312"/>
          <w:color w:val="000000" w:themeColor="text1"/>
          <w:sz w:val="32"/>
          <w:szCs w:val="32"/>
        </w:rPr>
        <w:t>（40%）+管理人员评分A</w:t>
      </w:r>
      <w:r>
        <w:rPr>
          <w:rFonts w:ascii="Times New Roman" w:hAnsi="Times New Roman" w:eastAsia="仿宋_GB2312"/>
          <w:color w:val="000000" w:themeColor="text1"/>
          <w:sz w:val="32"/>
          <w:szCs w:val="32"/>
          <w:vertAlign w:val="subscript"/>
        </w:rPr>
        <w:t>2</w:t>
      </w:r>
      <w:r>
        <w:rPr>
          <w:rFonts w:ascii="Times New Roman" w:hAnsi="Times New Roman" w:eastAsia="仿宋_GB2312"/>
          <w:color w:val="000000" w:themeColor="text1"/>
          <w:sz w:val="32"/>
          <w:szCs w:val="32"/>
        </w:rPr>
        <w:t>（30%）+学生互评分A</w:t>
      </w:r>
      <w:r>
        <w:rPr>
          <w:rFonts w:ascii="Times New Roman" w:hAnsi="Times New Roman" w:eastAsia="仿宋_GB2312"/>
          <w:color w:val="000000" w:themeColor="text1"/>
          <w:sz w:val="32"/>
          <w:szCs w:val="32"/>
          <w:vertAlign w:val="subscript"/>
        </w:rPr>
        <w:t>3</w:t>
      </w:r>
      <w:r>
        <w:rPr>
          <w:rFonts w:ascii="Times New Roman" w:hAnsi="Times New Roman" w:eastAsia="仿宋_GB2312"/>
          <w:color w:val="000000" w:themeColor="text1"/>
          <w:sz w:val="32"/>
          <w:szCs w:val="32"/>
        </w:rPr>
        <w:t>（30%）- A</w:t>
      </w:r>
      <w:r>
        <w:rPr>
          <w:rFonts w:ascii="Times New Roman" w:hAnsi="Times New Roman" w:eastAsia="仿宋_GB2312"/>
          <w:color w:val="000000" w:themeColor="text1"/>
          <w:sz w:val="32"/>
          <w:szCs w:val="32"/>
          <w:vertAlign w:val="subscript"/>
        </w:rPr>
        <w:t>4</w:t>
      </w:r>
      <w:r>
        <w:rPr>
          <w:rFonts w:ascii="Times New Roman" w:hAnsi="Times New Roman" w:eastAsia="仿宋_GB2312"/>
          <w:b/>
          <w:color w:val="000000" w:themeColor="text1"/>
          <w:sz w:val="32"/>
          <w:szCs w:val="32"/>
        </w:rPr>
        <w:t>。</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第五条</w:t>
      </w:r>
      <w:r>
        <w:rPr>
          <w:rFonts w:ascii="Times New Roman" w:hAnsi="Times New Roman" w:eastAsia="仿宋_GB2312"/>
          <w:color w:val="000000" w:themeColor="text1"/>
          <w:sz w:val="32"/>
          <w:szCs w:val="32"/>
        </w:rPr>
        <w:t xml:space="preserve"> 导师评分（A</w:t>
      </w:r>
      <w:r>
        <w:rPr>
          <w:rFonts w:ascii="Times New Roman" w:hAnsi="Times New Roman" w:eastAsia="仿宋_GB2312"/>
          <w:b/>
          <w:color w:val="000000" w:themeColor="text1"/>
          <w:sz w:val="32"/>
          <w:szCs w:val="32"/>
          <w:vertAlign w:val="subscript"/>
        </w:rPr>
        <w:t>1</w:t>
      </w:r>
      <w:r>
        <w:rPr>
          <w:rFonts w:ascii="Times New Roman" w:hAnsi="Times New Roman" w:eastAsia="仿宋_GB2312"/>
          <w:color w:val="000000" w:themeColor="text1"/>
          <w:sz w:val="32"/>
          <w:szCs w:val="32"/>
        </w:rPr>
        <w:t xml:space="preserve">）总分为100分，主要参考参评同学以下方面的表现进行打分: </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xml:space="preserve">    1．拥护中国共产党的领导，认真学习马克思列宁主义、毛泽东思想、邓小平理论、“三个代表”重要思想、科学发展观、习近平新时代中国特色社会主义思想（20分）；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自觉遵守国家法律法规，具有较强的社会责任和集体荣誉感。自觉维护社会公德，在公共场所举止文明得体（20分）；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自觉遵守校纪校规，自觉遵守实验室的规定和安全规范（20分）；</w:t>
      </w:r>
      <w:bookmarkStart w:id="0" w:name="_GoBack"/>
      <w:bookmarkEnd w:id="0"/>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 有科学的思想方法和严谨的治学精神,自觉遵守科学道德和学术规范要求，学风端正，学习目的明确。（20分）；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xml:space="preserve">5. 关心他人，尊敬老师，团结同学。积极参加课题组科研活动（20分）。 </w:t>
      </w:r>
    </w:p>
    <w:p>
      <w:pPr>
        <w:spacing w:line="520" w:lineRule="exact"/>
        <w:ind w:firstLine="643" w:firstLineChars="200"/>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第六条</w:t>
      </w:r>
      <w:r>
        <w:rPr>
          <w:rFonts w:ascii="Times New Roman" w:hAnsi="Times New Roman" w:eastAsia="仿宋_GB2312"/>
          <w:color w:val="000000" w:themeColor="text1"/>
          <w:sz w:val="32"/>
          <w:szCs w:val="32"/>
        </w:rPr>
        <w:t xml:space="preserve"> 管理人员评分（A</w:t>
      </w:r>
      <w:r>
        <w:rPr>
          <w:rFonts w:ascii="Times New Roman" w:hAnsi="Times New Roman" w:eastAsia="仿宋_GB2312"/>
          <w:b/>
          <w:color w:val="000000" w:themeColor="text1"/>
          <w:sz w:val="32"/>
          <w:szCs w:val="32"/>
          <w:vertAlign w:val="subscript"/>
        </w:rPr>
        <w:t>2</w:t>
      </w:r>
      <w:r>
        <w:rPr>
          <w:rFonts w:ascii="Times New Roman" w:hAnsi="Times New Roman" w:eastAsia="仿宋_GB2312"/>
          <w:color w:val="000000" w:themeColor="text1"/>
          <w:sz w:val="32"/>
          <w:szCs w:val="32"/>
        </w:rPr>
        <w:t>）最高分为100分，包括辅导员（班主任）评价计分及担任职务加分两部分：</w:t>
      </w:r>
    </w:p>
    <w:p>
      <w:pPr>
        <w:spacing w:line="520" w:lineRule="exact"/>
        <w:ind w:firstLine="643" w:firstLineChars="200"/>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1.</w:t>
      </w:r>
      <w:r>
        <w:rPr>
          <w:rFonts w:hint="eastAsia" w:ascii="Times New Roman" w:hAnsi="Times New Roman" w:eastAsia="仿宋_GB2312"/>
          <w:b/>
          <w:bCs/>
          <w:color w:val="000000" w:themeColor="text1"/>
          <w:sz w:val="32"/>
          <w:szCs w:val="32"/>
        </w:rPr>
        <w:t xml:space="preserve"> </w:t>
      </w:r>
      <w:r>
        <w:rPr>
          <w:rFonts w:ascii="Times New Roman" w:hAnsi="Times New Roman" w:eastAsia="仿宋_GB2312"/>
          <w:b/>
          <w:bCs/>
          <w:color w:val="000000" w:themeColor="text1"/>
          <w:sz w:val="32"/>
          <w:szCs w:val="32"/>
        </w:rPr>
        <w:t>辅导员（班主任）评价</w:t>
      </w:r>
    </w:p>
    <w:tbl>
      <w:tblPr>
        <w:tblStyle w:val="5"/>
        <w:tblW w:w="0" w:type="auto"/>
        <w:tblInd w:w="0" w:type="dxa"/>
        <w:shd w:val="clear" w:color="auto" w:fill="FFFFFF"/>
        <w:tblLayout w:type="fixed"/>
        <w:tblCellMar>
          <w:top w:w="0" w:type="dxa"/>
          <w:left w:w="0" w:type="dxa"/>
          <w:bottom w:w="0" w:type="dxa"/>
          <w:right w:w="0" w:type="dxa"/>
        </w:tblCellMar>
      </w:tblPr>
      <w:tblGrid>
        <w:gridCol w:w="5328"/>
        <w:gridCol w:w="1620"/>
        <w:gridCol w:w="1574"/>
      </w:tblGrid>
      <w:tr>
        <w:tblPrEx>
          <w:shd w:val="clear" w:color="auto" w:fill="FFFFFF"/>
          <w:tblCellMar>
            <w:top w:w="0" w:type="dxa"/>
            <w:left w:w="0" w:type="dxa"/>
            <w:bottom w:w="0" w:type="dxa"/>
            <w:right w:w="0" w:type="dxa"/>
          </w:tblCellMar>
        </w:tblPrEx>
        <w:tc>
          <w:tcPr>
            <w:tcW w:w="8522"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辅导员（班主任）评价</w:t>
            </w:r>
          </w:p>
        </w:tc>
      </w:tr>
      <w:tr>
        <w:tblPrEx>
          <w:tblCellMar>
            <w:top w:w="0" w:type="dxa"/>
            <w:left w:w="0" w:type="dxa"/>
            <w:bottom w:w="0" w:type="dxa"/>
            <w:right w:w="0" w:type="dxa"/>
          </w:tblCellMar>
        </w:tblPrEx>
        <w:tc>
          <w:tcPr>
            <w:tcW w:w="5328" w:type="dxa"/>
            <w:vMerge w:val="restart"/>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w:t>
            </w:r>
          </w:p>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思想政治及日常生活表现</w:t>
            </w:r>
          </w:p>
        </w:tc>
        <w:tc>
          <w:tcPr>
            <w:tcW w:w="16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等级</w:t>
            </w:r>
          </w:p>
        </w:tc>
        <w:tc>
          <w:tcPr>
            <w:tcW w:w="157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分值</w:t>
            </w:r>
          </w:p>
        </w:tc>
      </w:tr>
      <w:tr>
        <w:tblPrEx>
          <w:tblCellMar>
            <w:top w:w="0" w:type="dxa"/>
            <w:left w:w="0" w:type="dxa"/>
            <w:bottom w:w="0" w:type="dxa"/>
            <w:right w:w="0" w:type="dxa"/>
          </w:tblCellMar>
        </w:tblPrEx>
        <w:tc>
          <w:tcPr>
            <w:tcW w:w="5328" w:type="dxa"/>
            <w:vMerge w:val="continue"/>
            <w:tcBorders>
              <w:top w:val="nil"/>
              <w:left w:val="single" w:color="auto" w:sz="8" w:space="0"/>
              <w:bottom w:val="single" w:color="auto" w:sz="8" w:space="0"/>
              <w:right w:val="single" w:color="auto" w:sz="8" w:space="0"/>
            </w:tcBorders>
            <w:shd w:val="clear" w:color="auto" w:fill="FFFFFF"/>
            <w:vAlign w:val="center"/>
          </w:tcPr>
          <w:p>
            <w:pPr>
              <w:widowControl/>
              <w:spacing w:line="360" w:lineRule="auto"/>
              <w:jc w:val="left"/>
              <w:rPr>
                <w:rFonts w:ascii="Times New Roman" w:hAnsi="Times New Roman" w:eastAsia="仿宋_GB2312"/>
                <w:color w:val="000000" w:themeColor="text1"/>
                <w:sz w:val="32"/>
                <w:szCs w:val="32"/>
              </w:rPr>
            </w:pPr>
          </w:p>
        </w:tc>
        <w:tc>
          <w:tcPr>
            <w:tcW w:w="16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优秀</w:t>
            </w:r>
          </w:p>
        </w:tc>
        <w:tc>
          <w:tcPr>
            <w:tcW w:w="157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r>
      <w:tr>
        <w:tblPrEx>
          <w:tblCellMar>
            <w:top w:w="0" w:type="dxa"/>
            <w:left w:w="0" w:type="dxa"/>
            <w:bottom w:w="0" w:type="dxa"/>
            <w:right w:w="0" w:type="dxa"/>
          </w:tblCellMar>
        </w:tblPrEx>
        <w:tc>
          <w:tcPr>
            <w:tcW w:w="5328" w:type="dxa"/>
            <w:vMerge w:val="continue"/>
            <w:tcBorders>
              <w:top w:val="nil"/>
              <w:left w:val="single" w:color="auto" w:sz="8" w:space="0"/>
              <w:bottom w:val="single" w:color="auto" w:sz="8" w:space="0"/>
              <w:right w:val="single" w:color="auto" w:sz="8" w:space="0"/>
            </w:tcBorders>
            <w:shd w:val="clear" w:color="auto" w:fill="FFFFFF"/>
            <w:vAlign w:val="center"/>
          </w:tcPr>
          <w:p>
            <w:pPr>
              <w:widowControl/>
              <w:spacing w:line="360" w:lineRule="auto"/>
              <w:jc w:val="left"/>
              <w:rPr>
                <w:rFonts w:ascii="Times New Roman" w:hAnsi="Times New Roman" w:eastAsia="仿宋_GB2312"/>
                <w:color w:val="000000" w:themeColor="text1"/>
                <w:sz w:val="32"/>
                <w:szCs w:val="32"/>
              </w:rPr>
            </w:pPr>
          </w:p>
        </w:tc>
        <w:tc>
          <w:tcPr>
            <w:tcW w:w="162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良好</w:t>
            </w:r>
          </w:p>
        </w:tc>
        <w:tc>
          <w:tcPr>
            <w:tcW w:w="157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30</w:t>
            </w:r>
          </w:p>
        </w:tc>
      </w:tr>
    </w:tbl>
    <w:p>
      <w:pPr>
        <w:spacing w:line="520" w:lineRule="exact"/>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注：辅导员（班主任）评价等级为良好（计30分）的必须满足以下条件：（1）遵守校规、校纪，遵守学院相关规定</w:t>
      </w:r>
      <w:r>
        <w:rPr>
          <w:rFonts w:hint="eastAsia" w:ascii="Times New Roman" w:hAnsi="Times New Roman" w:eastAsia="仿宋_GB2312"/>
          <w:color w:val="000000" w:themeColor="text1"/>
          <w:sz w:val="28"/>
          <w:szCs w:val="28"/>
          <w:lang w:eastAsia="zh-CN"/>
        </w:rPr>
        <w:t>；</w:t>
      </w:r>
      <w:r>
        <w:rPr>
          <w:rFonts w:ascii="Times New Roman" w:hAnsi="Times New Roman" w:eastAsia="仿宋_GB2312"/>
          <w:color w:val="000000" w:themeColor="text1"/>
          <w:sz w:val="28"/>
          <w:szCs w:val="28"/>
        </w:rPr>
        <w:t>（2）尊敬师长、团结同学</w:t>
      </w:r>
      <w:r>
        <w:rPr>
          <w:rFonts w:hint="eastAsia" w:ascii="Times New Roman" w:hAnsi="Times New Roman" w:eastAsia="仿宋_GB2312"/>
          <w:color w:val="000000" w:themeColor="text1"/>
          <w:sz w:val="28"/>
          <w:szCs w:val="28"/>
          <w:lang w:eastAsia="zh-CN"/>
        </w:rPr>
        <w:t>；</w:t>
      </w:r>
      <w:r>
        <w:rPr>
          <w:rFonts w:ascii="Times New Roman" w:hAnsi="Times New Roman" w:eastAsia="仿宋_GB2312"/>
          <w:color w:val="000000" w:themeColor="text1"/>
          <w:sz w:val="28"/>
          <w:szCs w:val="28"/>
        </w:rPr>
        <w:t>（3）积极配合研究生各项管理工作，按时上交相关材料。</w:t>
      </w:r>
    </w:p>
    <w:p>
      <w:pPr>
        <w:keepNext w:val="0"/>
        <w:keepLines w:val="0"/>
        <w:pageBreakBefore w:val="0"/>
        <w:widowControl/>
        <w:kinsoku/>
        <w:wordWrap/>
        <w:overflowPunct/>
        <w:topLinePunct w:val="0"/>
        <w:autoSpaceDE/>
        <w:autoSpaceDN/>
        <w:bidi w:val="0"/>
        <w:adjustRightInd/>
        <w:snapToGrid/>
        <w:spacing w:line="360" w:lineRule="auto"/>
        <w:ind w:firstLine="562" w:firstLineChars="200"/>
        <w:jc w:val="both"/>
        <w:textAlignment w:val="auto"/>
        <w:rPr>
          <w:rFonts w:ascii="Times New Roman" w:hAnsi="Times New Roman" w:eastAsia="仿宋_GB2312"/>
          <w:b/>
          <w:color w:val="000000" w:themeColor="text1"/>
          <w:sz w:val="32"/>
          <w:szCs w:val="32"/>
        </w:rPr>
      </w:pPr>
      <w:r>
        <w:rPr>
          <w:rFonts w:ascii="Times New Roman" w:hAnsi="Times New Roman" w:eastAsia="仿宋_GB2312"/>
          <w:b/>
          <w:bCs/>
          <w:color w:val="000000" w:themeColor="text1"/>
          <w:sz w:val="28"/>
          <w:szCs w:val="28"/>
        </w:rPr>
        <w:t>2.</w:t>
      </w:r>
      <w:r>
        <w:rPr>
          <w:rFonts w:hint="eastAsia" w:ascii="Times New Roman" w:hAnsi="Times New Roman" w:eastAsia="仿宋_GB2312"/>
          <w:b/>
          <w:bCs/>
          <w:color w:val="000000" w:themeColor="text1"/>
          <w:sz w:val="28"/>
          <w:szCs w:val="28"/>
        </w:rPr>
        <w:t xml:space="preserve"> </w:t>
      </w:r>
      <w:r>
        <w:rPr>
          <w:rFonts w:ascii="Times New Roman" w:hAnsi="Times New Roman" w:eastAsia="仿宋_GB2312"/>
          <w:b/>
          <w:bCs/>
          <w:color w:val="000000" w:themeColor="text1"/>
          <w:sz w:val="32"/>
          <w:szCs w:val="32"/>
        </w:rPr>
        <w:t>担任职务计分标准</w:t>
      </w:r>
      <w:r>
        <w:rPr>
          <w:rFonts w:ascii="Times New Roman" w:hAnsi="Times New Roman" w:eastAsia="仿宋_GB2312"/>
          <w:b/>
          <w:color w:val="000000" w:themeColor="text1"/>
          <w:sz w:val="32"/>
          <w:szCs w:val="32"/>
        </w:rPr>
        <w:t>（单位：分/项）</w:t>
      </w:r>
    </w:p>
    <w:tbl>
      <w:tblPr>
        <w:tblStyle w:val="5"/>
        <w:tblW w:w="0" w:type="auto"/>
        <w:jc w:val="center"/>
        <w:tblLayout w:type="fixed"/>
        <w:tblCellMar>
          <w:top w:w="0" w:type="dxa"/>
          <w:left w:w="0" w:type="dxa"/>
          <w:bottom w:w="0" w:type="dxa"/>
          <w:right w:w="0" w:type="dxa"/>
        </w:tblCellMar>
      </w:tblPr>
      <w:tblGrid>
        <w:gridCol w:w="3218"/>
        <w:gridCol w:w="1043"/>
        <w:gridCol w:w="1391"/>
        <w:gridCol w:w="2870"/>
      </w:tblGrid>
      <w:tr>
        <w:tblPrEx>
          <w:tblCellMar>
            <w:top w:w="0" w:type="dxa"/>
            <w:left w:w="0" w:type="dxa"/>
            <w:bottom w:w="0" w:type="dxa"/>
            <w:right w:w="0" w:type="dxa"/>
          </w:tblCellMar>
        </w:tblPrEx>
        <w:trPr>
          <w:jc w:val="center"/>
        </w:trPr>
        <w:tc>
          <w:tcPr>
            <w:tcW w:w="321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担任职务</w:t>
            </w:r>
          </w:p>
        </w:tc>
        <w:tc>
          <w:tcPr>
            <w:tcW w:w="104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优秀</w:t>
            </w:r>
          </w:p>
        </w:tc>
        <w:tc>
          <w:tcPr>
            <w:tcW w:w="139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良好</w:t>
            </w:r>
          </w:p>
        </w:tc>
        <w:tc>
          <w:tcPr>
            <w:tcW w:w="287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评价单位</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校级</w:t>
            </w:r>
          </w:p>
        </w:tc>
        <w:tc>
          <w:tcPr>
            <w:tcW w:w="10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60</w:t>
            </w:r>
          </w:p>
        </w:tc>
        <w:tc>
          <w:tcPr>
            <w:tcW w:w="13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c>
          <w:tcPr>
            <w:tcW w:w="287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研究生工作部</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院级</w:t>
            </w:r>
          </w:p>
        </w:tc>
        <w:tc>
          <w:tcPr>
            <w:tcW w:w="10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50</w:t>
            </w:r>
          </w:p>
        </w:tc>
        <w:tc>
          <w:tcPr>
            <w:tcW w:w="13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30</w:t>
            </w:r>
          </w:p>
        </w:tc>
        <w:tc>
          <w:tcPr>
            <w:tcW w:w="287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培养单位</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班级</w:t>
            </w:r>
          </w:p>
        </w:tc>
        <w:tc>
          <w:tcPr>
            <w:tcW w:w="10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c>
          <w:tcPr>
            <w:tcW w:w="139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c>
          <w:tcPr>
            <w:tcW w:w="287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班级</w:t>
            </w:r>
          </w:p>
        </w:tc>
      </w:tr>
    </w:tbl>
    <w:p>
      <w:pPr>
        <w:widowControl/>
        <w:spacing w:line="360" w:lineRule="auto"/>
        <w:jc w:val="left"/>
        <w:rPr>
          <w:rFonts w:ascii="Times New Roman" w:hAnsi="Times New Roman" w:eastAsia="仿宋_GB2312"/>
          <w:color w:val="000000" w:themeColor="text1"/>
          <w:sz w:val="28"/>
          <w:szCs w:val="28"/>
        </w:rPr>
      </w:pPr>
      <w:r>
        <w:rPr>
          <w:rFonts w:ascii="Times New Roman" w:hAnsi="Times New Roman" w:eastAsia="仿宋_GB2312"/>
          <w:b/>
          <w:color w:val="000000" w:themeColor="text1"/>
          <w:sz w:val="28"/>
          <w:szCs w:val="28"/>
        </w:rPr>
        <w:t>注</w:t>
      </w:r>
      <w:r>
        <w:rPr>
          <w:rFonts w:ascii="Times New Roman" w:hAnsi="Times New Roman" w:eastAsia="仿宋_GB2312"/>
          <w:color w:val="000000" w:themeColor="text1"/>
          <w:sz w:val="28"/>
          <w:szCs w:val="28"/>
        </w:rPr>
        <w:t>：“担任职务栏”以最高级别计，不重复计分</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担任职务是指在研究生党、团、研究生会等组织中担任的职务</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校级及以上需获得党委研究生工作部认可，成绩由所在集体和党委研究生工作部评定</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院系级和班级需获得二级培养单位认可，成绩由所在集体认可和二级培养单位管理员认定。</w:t>
      </w:r>
    </w:p>
    <w:p>
      <w:pPr>
        <w:spacing w:line="520" w:lineRule="exact"/>
        <w:ind w:firstLine="643" w:firstLineChars="200"/>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第七条</w:t>
      </w:r>
      <w:r>
        <w:rPr>
          <w:rFonts w:ascii="Times New Roman" w:hAnsi="Times New Roman" w:eastAsia="仿宋_GB2312"/>
          <w:color w:val="000000" w:themeColor="text1"/>
          <w:sz w:val="32"/>
          <w:szCs w:val="32"/>
        </w:rPr>
        <w:t xml:space="preserve"> 学生互评分（A</w:t>
      </w:r>
      <w:r>
        <w:rPr>
          <w:rFonts w:ascii="Times New Roman" w:hAnsi="Times New Roman" w:eastAsia="仿宋_GB2312"/>
          <w:color w:val="000000" w:themeColor="text1"/>
          <w:sz w:val="32"/>
          <w:szCs w:val="32"/>
          <w:vertAlign w:val="subscript"/>
        </w:rPr>
        <w:t>3</w:t>
      </w:r>
      <w:r>
        <w:rPr>
          <w:rFonts w:ascii="Times New Roman" w:hAnsi="Times New Roman" w:eastAsia="仿宋_GB2312"/>
          <w:color w:val="000000" w:themeColor="text1"/>
          <w:sz w:val="32"/>
          <w:szCs w:val="32"/>
        </w:rPr>
        <w:t>）包括社会活动获奖计分（70%）、参加集体活动计分（20%）以及班级成员互评分（10%）。</w:t>
      </w:r>
    </w:p>
    <w:p>
      <w:pPr>
        <w:spacing w:line="520" w:lineRule="exact"/>
        <w:ind w:firstLine="643" w:firstLineChars="200"/>
        <w:rPr>
          <w:rFonts w:ascii="Times New Roman" w:hAnsi="Times New Roman" w:eastAsia="仿宋_GB2312"/>
          <w:b/>
          <w:bCs/>
          <w:color w:val="000000" w:themeColor="text1"/>
          <w:sz w:val="32"/>
          <w:szCs w:val="32"/>
        </w:rPr>
      </w:pPr>
      <w:r>
        <w:rPr>
          <w:rFonts w:ascii="Times New Roman" w:hAnsi="Times New Roman" w:eastAsia="仿宋_GB2312"/>
          <w:b/>
          <w:bCs/>
          <w:color w:val="000000" w:themeColor="text1"/>
          <w:sz w:val="32"/>
          <w:szCs w:val="32"/>
        </w:rPr>
        <w:t>1.</w:t>
      </w:r>
      <w:r>
        <w:rPr>
          <w:rFonts w:hint="eastAsia" w:ascii="Times New Roman" w:hAnsi="Times New Roman" w:eastAsia="仿宋_GB2312"/>
          <w:b/>
          <w:bCs/>
          <w:color w:val="000000" w:themeColor="text1"/>
          <w:sz w:val="32"/>
          <w:szCs w:val="32"/>
        </w:rPr>
        <w:t xml:space="preserve"> </w:t>
      </w:r>
      <w:r>
        <w:rPr>
          <w:rFonts w:ascii="Times New Roman" w:hAnsi="Times New Roman" w:eastAsia="仿宋_GB2312"/>
          <w:b/>
          <w:bCs/>
          <w:color w:val="000000" w:themeColor="text1"/>
          <w:sz w:val="32"/>
          <w:szCs w:val="32"/>
        </w:rPr>
        <w:t>社会活动获奖</w:t>
      </w:r>
      <w:r>
        <w:rPr>
          <w:rFonts w:ascii="Times New Roman" w:hAnsi="Times New Roman" w:eastAsia="仿宋_GB2312"/>
          <w:b/>
          <w:color w:val="000000" w:themeColor="text1"/>
          <w:sz w:val="32"/>
          <w:szCs w:val="32"/>
        </w:rPr>
        <w:t>（单位：分/项）</w:t>
      </w:r>
    </w:p>
    <w:tbl>
      <w:tblPr>
        <w:tblStyle w:val="5"/>
        <w:tblW w:w="0" w:type="auto"/>
        <w:tblInd w:w="0" w:type="dxa"/>
        <w:shd w:val="clear" w:color="auto" w:fill="FFFFFF"/>
        <w:tblLayout w:type="fixed"/>
        <w:tblCellMar>
          <w:top w:w="0" w:type="dxa"/>
          <w:left w:w="0" w:type="dxa"/>
          <w:bottom w:w="0" w:type="dxa"/>
          <w:right w:w="0" w:type="dxa"/>
        </w:tblCellMar>
      </w:tblPr>
      <w:tblGrid>
        <w:gridCol w:w="3096"/>
        <w:gridCol w:w="1356"/>
        <w:gridCol w:w="1356"/>
        <w:gridCol w:w="1357"/>
        <w:gridCol w:w="1357"/>
      </w:tblGrid>
      <w:tr>
        <w:tblPrEx>
          <w:shd w:val="clear" w:color="auto" w:fill="FFFFFF"/>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等  次</w:t>
            </w:r>
          </w:p>
          <w:p>
            <w:pPr>
              <w:widowControl/>
              <w:spacing w:line="360" w:lineRule="auto"/>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获奖级别</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一等奖</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二等奖</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三等奖</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其它</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国家级</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80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60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30</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省部级</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60</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地(市)级</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5</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校级</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15</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5</w:t>
            </w:r>
          </w:p>
        </w:tc>
        <w:tc>
          <w:tcPr>
            <w:tcW w:w="1357" w:type="dxa"/>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w:t>
            </w:r>
          </w:p>
        </w:tc>
      </w:tr>
    </w:tbl>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b/>
          <w:color w:val="000000" w:themeColor="text1"/>
          <w:sz w:val="28"/>
          <w:szCs w:val="28"/>
        </w:rPr>
        <w:t>注：</w:t>
      </w:r>
      <w:r>
        <w:rPr>
          <w:rFonts w:ascii="Times New Roman" w:hAnsi="Times New Roman" w:eastAsia="仿宋_GB2312"/>
          <w:bCs/>
          <w:color w:val="000000" w:themeColor="text1"/>
          <w:sz w:val="28"/>
          <w:szCs w:val="28"/>
        </w:rPr>
        <w:t>（1）</w:t>
      </w:r>
      <w:r>
        <w:rPr>
          <w:rFonts w:ascii="Times New Roman" w:hAnsi="Times New Roman" w:eastAsia="仿宋_GB2312"/>
          <w:color w:val="000000" w:themeColor="text1"/>
          <w:sz w:val="28"/>
          <w:szCs w:val="28"/>
        </w:rPr>
        <w:t>社会活动获奖是指在国家、省市级和学校举行的学生干部评优评奖</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科技和文化体育等活动中，代表学校或培养单位参加所获得奖励，其他社会组织的评奖活动不计；获奖中无等次划分者，一律按其它等级加分；</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（2）根据获奖证书中的排名情况，获奖证书中排名每递减一位相应</w:t>
      </w:r>
      <w:r>
        <w:rPr>
          <w:rFonts w:hint="eastAsia" w:ascii="Times New Roman" w:hAnsi="Times New Roman" w:eastAsia="仿宋_GB2312"/>
          <w:color w:val="000000" w:themeColor="text1"/>
          <w:sz w:val="28"/>
          <w:szCs w:val="28"/>
        </w:rPr>
        <w:t>分值</w:t>
      </w:r>
      <w:r>
        <w:rPr>
          <w:rFonts w:ascii="Times New Roman" w:hAnsi="Times New Roman" w:eastAsia="仿宋_GB2312"/>
          <w:color w:val="000000" w:themeColor="text1"/>
          <w:sz w:val="28"/>
          <w:szCs w:val="28"/>
        </w:rPr>
        <w:t>减去20%，以此类推，优秀奖按其它等级项加分，获奖分值可累加；</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3）参加校级文体活动获奖，担任职务的同学按获奖级别和名次加分，未担任职务的同学按相应获奖级别和名次分值的80%加分（参加地(市)级、省部级以上均按获奖级别和名次加分）；若是排名不分先后的团体获奖，每个同学均按照团体获奖级别和名次加分，获奖分值可累加；</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（4）参加校硕博论坛、学院学术报告获得优秀主讲人和获得校硕博论坛优秀论文者均按社会活动中的其它等级项加分（参加校硕博论坛获得优秀主讲人、校硕博论坛优秀论文两项者可累加）；</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（5）参加志愿者活动被评为优秀志愿者的按不同获奖级别的其它等级项加分，获奖分值可累加；</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（6）参加暑期社会实践获得优秀队员者按不同获奖级别的其它等级项加分，分值可累加；</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（7）参加校院级篮球队、排球队、足球队的队员可额外加2分（如在校级获奖的，此项不加，只加获奖分）；</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（8）院级各种获奖（提供证书）按校级获奖其他类加分；</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（9）获见义勇为奖均按照获奖级别的最高名次加分；</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（10）社会活动累积计分不能高于200分；</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（11）获奖材料认定时间以获奖证书或者赛事官方公示时间为准，同一奖项只能使用一次。</w:t>
      </w:r>
    </w:p>
    <w:p>
      <w:pPr>
        <w:spacing w:line="520" w:lineRule="exact"/>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2.</w:t>
      </w:r>
      <w:r>
        <w:rPr>
          <w:rFonts w:hint="eastAsia" w:ascii="Times New Roman" w:hAnsi="Times New Roman" w:eastAsia="仿宋_GB2312"/>
          <w:b/>
          <w:color w:val="000000" w:themeColor="text1"/>
          <w:sz w:val="32"/>
          <w:szCs w:val="32"/>
        </w:rPr>
        <w:t xml:space="preserve"> </w:t>
      </w:r>
      <w:r>
        <w:rPr>
          <w:rFonts w:ascii="Times New Roman" w:hAnsi="Times New Roman" w:eastAsia="仿宋_GB2312"/>
          <w:b/>
          <w:color w:val="000000" w:themeColor="text1"/>
          <w:sz w:val="32"/>
          <w:szCs w:val="32"/>
        </w:rPr>
        <w:t>参加集体活动</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bCs/>
          <w:color w:val="000000" w:themeColor="text1"/>
          <w:sz w:val="32"/>
          <w:szCs w:val="32"/>
        </w:rPr>
        <w:t>参加集体活动</w:t>
      </w:r>
      <w:r>
        <w:rPr>
          <w:rFonts w:ascii="Times New Roman" w:hAnsi="Times New Roman" w:eastAsia="仿宋_GB2312"/>
          <w:color w:val="000000" w:themeColor="text1"/>
          <w:sz w:val="32"/>
          <w:szCs w:val="32"/>
        </w:rPr>
        <w:t>计分（最高分20分），每次活动计1分，活动次数由班级活动签到册实际统计次数为准，最高不得超过20分。</w:t>
      </w:r>
    </w:p>
    <w:p>
      <w:pPr>
        <w:spacing w:line="520" w:lineRule="exact"/>
        <w:ind w:firstLine="643" w:firstLineChars="200"/>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3.</w:t>
      </w:r>
      <w:r>
        <w:rPr>
          <w:rFonts w:hint="eastAsia" w:ascii="Times New Roman" w:hAnsi="Times New Roman" w:eastAsia="仿宋_GB2312"/>
          <w:b/>
          <w:color w:val="000000" w:themeColor="text1"/>
          <w:sz w:val="32"/>
          <w:szCs w:val="32"/>
        </w:rPr>
        <w:t xml:space="preserve"> </w:t>
      </w:r>
      <w:r>
        <w:rPr>
          <w:rFonts w:ascii="Times New Roman" w:hAnsi="Times New Roman" w:eastAsia="仿宋_GB2312"/>
          <w:b/>
          <w:color w:val="000000" w:themeColor="text1"/>
          <w:sz w:val="32"/>
          <w:szCs w:val="32"/>
        </w:rPr>
        <w:t>班级成员互评分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bCs/>
          <w:color w:val="000000" w:themeColor="text1"/>
          <w:sz w:val="32"/>
          <w:szCs w:val="32"/>
        </w:rPr>
        <w:t>班级成员互评分</w:t>
      </w:r>
      <w:r>
        <w:rPr>
          <w:rFonts w:ascii="Times New Roman" w:hAnsi="Times New Roman" w:eastAsia="仿宋_GB2312"/>
          <w:color w:val="000000" w:themeColor="text1"/>
          <w:sz w:val="32"/>
          <w:szCs w:val="32"/>
        </w:rPr>
        <w:t>由班级组织互评计分，最高分不得超过10分。</w:t>
      </w:r>
    </w:p>
    <w:p>
      <w:pPr>
        <w:spacing w:line="520" w:lineRule="exact"/>
        <w:ind w:firstLine="643" w:firstLineChars="200"/>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第八条</w:t>
      </w:r>
      <w:r>
        <w:rPr>
          <w:rFonts w:ascii="Times New Roman" w:hAnsi="Times New Roman" w:eastAsia="仿宋_GB2312"/>
          <w:color w:val="000000" w:themeColor="text1"/>
          <w:sz w:val="32"/>
          <w:szCs w:val="32"/>
        </w:rPr>
        <w:t xml:space="preserve"> 有下列情形的酌情扣分（A</w:t>
      </w:r>
      <w:r>
        <w:rPr>
          <w:rFonts w:ascii="Times New Roman" w:hAnsi="Times New Roman" w:eastAsia="仿宋_GB2312"/>
          <w:color w:val="000000" w:themeColor="text1"/>
          <w:sz w:val="32"/>
          <w:szCs w:val="32"/>
          <w:vertAlign w:val="subscript"/>
        </w:rPr>
        <w:t>4</w:t>
      </w:r>
      <w:r>
        <w:rPr>
          <w:rFonts w:ascii="Times New Roman" w:hAnsi="Times New Roman" w:eastAsia="仿宋_GB2312"/>
          <w:color w:val="000000" w:themeColor="text1"/>
          <w:sz w:val="32"/>
          <w:szCs w:val="32"/>
        </w:rPr>
        <w:t>）</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不遵守教学秩序多次违反课堂纪律（如迟到、早退、旷课、影响教学等）扣1-5分；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受培养单位通报批评者一次扣2分，受学校通报批评者一次扣4分；</w:t>
      </w:r>
    </w:p>
    <w:p>
      <w:pPr>
        <w:spacing w:line="520" w:lineRule="exact"/>
        <w:ind w:firstLine="640" w:firstLineChars="200"/>
        <w:rPr>
          <w:rFonts w:ascii="Times New Roman" w:hAnsi="Times New Roman" w:eastAsia="仿宋_GB2312"/>
          <w:color w:val="000000" w:themeColor="text1"/>
          <w:sz w:val="32"/>
          <w:szCs w:val="32"/>
          <w:u w:val="single"/>
        </w:rPr>
      </w:pPr>
      <w:r>
        <w:rPr>
          <w:rFonts w:ascii="Times New Roman" w:hAnsi="Times New Roman" w:eastAsia="仿宋_GB2312"/>
          <w:color w:val="000000" w:themeColor="text1"/>
          <w:sz w:val="32"/>
          <w:szCs w:val="32"/>
        </w:rPr>
        <w:t>3.</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学校、培养单位组织且要求必须参加的活动，无故不参加的，每次扣1-5分；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在学校或培养单位组织的寝室检查中，不配合或抵触的一次扣2分，造成不良影响的一次扣5分。检查中，不合格寝室的成员均扣1分，受通报批评的寝室，其成员一次扣2分。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5.</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在突发、偶发和公共事件处理过程中，不听从组织安排，造成不良影响的一次扣6分；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6.</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通过网络、微博、微信等渠道发布不实信息，给学校声誉造成影响的扣10分；</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因同一事由（件）被扣分者，以最高项记，不同事由（件）造成的扣分要累加。</w:t>
      </w:r>
    </w:p>
    <w:p>
      <w:pPr>
        <w:spacing w:line="52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 xml:space="preserve">                       </w:t>
      </w:r>
    </w:p>
    <w:p>
      <w:pPr>
        <w:jc w:val="center"/>
        <w:rPr>
          <w:rFonts w:ascii="Times New Roman" w:hAnsi="Times New Roman" w:eastAsia="楷体_GB2312"/>
          <w:b/>
          <w:color w:val="000000" w:themeColor="text1"/>
          <w:sz w:val="32"/>
          <w:szCs w:val="32"/>
        </w:rPr>
      </w:pPr>
      <w:r>
        <w:rPr>
          <w:rFonts w:ascii="Times New Roman" w:hAnsi="Times New Roman" w:eastAsia="仿宋_GB2312"/>
          <w:b/>
          <w:color w:val="000000" w:themeColor="text1"/>
          <w:sz w:val="32"/>
          <w:szCs w:val="32"/>
        </w:rPr>
        <w:t xml:space="preserve"> </w:t>
      </w:r>
      <w:r>
        <w:rPr>
          <w:rFonts w:ascii="Times New Roman" w:hAnsi="Times New Roman" w:eastAsia="楷体_GB2312"/>
          <w:b/>
          <w:color w:val="000000" w:themeColor="text1"/>
          <w:sz w:val="32"/>
          <w:szCs w:val="32"/>
        </w:rPr>
        <w:t>第四章 课程综合测评分数</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第九条</w:t>
      </w:r>
      <w:r>
        <w:rPr>
          <w:rFonts w:ascii="Times New Roman" w:hAnsi="Times New Roman" w:eastAsia="仿宋_GB2312"/>
          <w:color w:val="000000" w:themeColor="text1"/>
          <w:sz w:val="32"/>
          <w:szCs w:val="32"/>
        </w:rPr>
        <w:t xml:space="preserve"> 课程考核由研究生培养方案中学位课和非学位课程成绩组成，权重及计算方法如下：</w:t>
      </w:r>
    </w:p>
    <w:p>
      <w:pPr>
        <w:jc w:val="center"/>
        <w:rPr>
          <w:rFonts w:ascii="Times New Roman" w:hAnsi="Times New Roman" w:eastAsia="仿宋"/>
          <w:color w:val="000000" w:themeColor="text1"/>
          <w:sz w:val="32"/>
          <w:szCs w:val="32"/>
        </w:rPr>
      </w:pPr>
      <w:r>
        <w:rPr>
          <w:rFonts w:ascii="Times New Roman" w:hAnsi="Times New Roman" w:eastAsia="仿宋"/>
          <w:color w:val="000000" w:themeColor="text1"/>
          <w:position w:val="-32"/>
          <w:sz w:val="24"/>
          <w:szCs w:val="24"/>
        </w:rPr>
        <w:object>
          <v:shape id="_x0000_i1025" o:spt="75" type="#_x0000_t75" style="height:42pt;width:156pt;" o:ole="t" filled="f" o:preferrelative="t" stroked="f" coordsize="21600,21600">
            <v:path/>
            <v:fill on="f" focussize="0,0"/>
            <v:stroke on="f" joinstyle="miter"/>
            <v:imagedata r:id="rId7" o:title=""/>
            <o:lock v:ext="edit" aspectratio="f"/>
            <w10:wrap type="none"/>
            <w10:anchorlock/>
          </v:shape>
          <o:OLEObject Type="Embed" ProgID="Equation.DSMT4" ShapeID="_x0000_i1025" DrawAspect="Content" ObjectID="_1468075725" r:id="rId6">
            <o:LockedField>false</o:LockedField>
          </o:OLEObject>
        </w:objec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其中，B为课程考核分数，</w:t>
      </w:r>
      <w:r>
        <w:rPr>
          <w:rFonts w:ascii="Times New Roman" w:hAnsi="Times New Roman" w:eastAsia="仿宋_GB2312"/>
          <w:color w:val="000000" w:themeColor="text1"/>
          <w:sz w:val="32"/>
          <w:szCs w:val="32"/>
        </w:rPr>
        <w:object>
          <v:shape id="_x0000_i1026" o:spt="75" type="#_x0000_t75" style="height:18.75pt;width:12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ascii="Times New Roman" w:hAnsi="Times New Roman" w:eastAsia="仿宋_GB2312"/>
          <w:color w:val="000000" w:themeColor="text1"/>
          <w:sz w:val="32"/>
          <w:szCs w:val="32"/>
        </w:rPr>
        <w:t>为学位课（含必修课）成绩，</w:t>
      </w:r>
      <w:r>
        <w:rPr>
          <w:rFonts w:ascii="Times New Roman" w:hAnsi="Times New Roman" w:eastAsia="仿宋_GB2312"/>
          <w:color w:val="000000" w:themeColor="text1"/>
          <w:sz w:val="32"/>
          <w:szCs w:val="32"/>
        </w:rPr>
        <w:object>
          <v:shape id="_x0000_i1027" o:spt="75" type="#_x0000_t75" style="height:18.75pt;width:15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eastAsia="仿宋_GB2312"/>
          <w:color w:val="000000" w:themeColor="text1"/>
          <w:sz w:val="32"/>
          <w:szCs w:val="32"/>
        </w:rPr>
        <w:t>为对应的课程学分，</w:t>
      </w:r>
      <w:r>
        <w:rPr>
          <w:rFonts w:ascii="Times New Roman" w:hAnsi="Times New Roman" w:eastAsia="仿宋_GB2312"/>
          <w:color w:val="000000" w:themeColor="text1"/>
          <w:sz w:val="32"/>
          <w:szCs w:val="32"/>
        </w:rPr>
        <w:object>
          <v:shape id="_x0000_i1028" o:spt="75" type="#_x0000_t75" style="height:18.75pt;width:14.25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ascii="Times New Roman" w:hAnsi="Times New Roman" w:eastAsia="仿宋_GB2312"/>
          <w:color w:val="000000" w:themeColor="text1"/>
          <w:sz w:val="32"/>
          <w:szCs w:val="32"/>
        </w:rPr>
        <w:t>为非学位课成绩，</w:t>
      </w:r>
      <w:r>
        <w:rPr>
          <w:rFonts w:ascii="Times New Roman" w:hAnsi="Times New Roman" w:eastAsia="仿宋_GB2312"/>
          <w:color w:val="000000" w:themeColor="text1"/>
          <w:sz w:val="32"/>
          <w:szCs w:val="32"/>
        </w:rPr>
        <w:object>
          <v:shape id="_x0000_i1029" o:spt="75" type="#_x0000_t75" style="height:18.75pt;width:18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rFonts w:ascii="Times New Roman" w:hAnsi="Times New Roman" w:eastAsia="仿宋_GB2312"/>
          <w:color w:val="000000" w:themeColor="text1"/>
          <w:sz w:val="32"/>
          <w:szCs w:val="32"/>
        </w:rPr>
        <w:t>为对应的课程学分。成绩按百分制计算。</w:t>
      </w:r>
    </w:p>
    <w:p>
      <w:pPr>
        <w:jc w:val="center"/>
        <w:rPr>
          <w:rFonts w:ascii="Times New Roman" w:hAnsi="Times New Roman" w:eastAsia="楷体_GB2312"/>
          <w:b/>
          <w:color w:val="000000" w:themeColor="text1"/>
          <w:sz w:val="32"/>
          <w:szCs w:val="32"/>
        </w:rPr>
      </w:pPr>
      <w:r>
        <w:rPr>
          <w:rFonts w:ascii="Times New Roman" w:hAnsi="Times New Roman" w:eastAsia="仿宋_GB2312"/>
          <w:color w:val="000000" w:themeColor="text1"/>
          <w:sz w:val="32"/>
          <w:szCs w:val="32"/>
        </w:rPr>
        <w:t xml:space="preserve">  </w:t>
      </w:r>
      <w:r>
        <w:rPr>
          <w:rFonts w:ascii="Times New Roman" w:hAnsi="Times New Roman" w:eastAsia="楷体_GB2312"/>
          <w:b/>
          <w:color w:val="000000" w:themeColor="text1"/>
          <w:sz w:val="32"/>
          <w:szCs w:val="32"/>
        </w:rPr>
        <w:t>第五章 科研（学术）成果综合测评分数</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第十条 </w:t>
      </w:r>
      <w:r>
        <w:rPr>
          <w:rFonts w:ascii="Times New Roman" w:hAnsi="Times New Roman" w:eastAsia="仿宋_GB2312"/>
          <w:color w:val="000000" w:themeColor="text1"/>
          <w:sz w:val="32"/>
          <w:szCs w:val="32"/>
        </w:rPr>
        <w:t xml:space="preserve"> 科研（学术）成果的认定要求：</w:t>
      </w:r>
    </w:p>
    <w:p>
      <w:pPr>
        <w:spacing w:line="56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所有成果第一完成单位须为贵州大学，参评者须为第一作者（共同第一作者不计入），但属于下列特殊情况之一者，可视为第一作者：</w:t>
      </w:r>
    </w:p>
    <w:p>
      <w:pPr>
        <w:spacing w:line="56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（1）要求教授或者知名学者为第一作者以及没有通讯作者的期刊，第一作者为导师、第二作者为参评者；</w:t>
      </w:r>
    </w:p>
    <w:p>
      <w:pPr>
        <w:spacing w:line="56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（2）以姓氏笔画排名署名的期刊，导师证明参评者是第一执笔人。</w:t>
      </w:r>
    </w:p>
    <w:p>
      <w:pPr>
        <w:spacing w:line="560" w:lineRule="exact"/>
        <w:ind w:firstLine="640" w:firstLine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奖学金评定中，自然科学类参评者须为第一作者或唯一通讯作者；人文科学类参评者须为第一作者，导师是第一作者，学生为第二作者的视为第一作者；</w:t>
      </w:r>
    </w:p>
    <w:p>
      <w:pPr>
        <w:spacing w:line="560" w:lineRule="exact"/>
        <w:ind w:left="420" w:leftChars="20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成果</w:t>
      </w:r>
      <w:r>
        <w:rPr>
          <w:rFonts w:hint="eastAsia" w:ascii="Times New Roman" w:hAnsi="Times New Roman" w:eastAsia="仿宋_GB2312"/>
          <w:color w:val="000000" w:themeColor="text1"/>
          <w:sz w:val="32"/>
          <w:szCs w:val="32"/>
        </w:rPr>
        <w:t>完成时间</w:t>
      </w:r>
      <w:r>
        <w:rPr>
          <w:rFonts w:ascii="Times New Roman" w:hAnsi="Times New Roman" w:eastAsia="仿宋_GB2312"/>
          <w:color w:val="000000" w:themeColor="text1"/>
          <w:sz w:val="32"/>
          <w:szCs w:val="32"/>
        </w:rPr>
        <w:t>须</w:t>
      </w:r>
      <w:r>
        <w:rPr>
          <w:rFonts w:hint="eastAsia" w:ascii="Times New Roman" w:hAnsi="Times New Roman" w:eastAsia="仿宋_GB2312"/>
          <w:color w:val="000000" w:themeColor="text1"/>
          <w:sz w:val="32"/>
          <w:szCs w:val="32"/>
        </w:rPr>
        <w:t>在</w:t>
      </w:r>
      <w:r>
        <w:rPr>
          <w:rFonts w:ascii="Times New Roman" w:hAnsi="Times New Roman" w:eastAsia="仿宋_GB2312"/>
          <w:color w:val="000000" w:themeColor="text1"/>
          <w:sz w:val="32"/>
          <w:szCs w:val="32"/>
        </w:rPr>
        <w:t>奖学金评定</w:t>
      </w:r>
      <w:r>
        <w:rPr>
          <w:rFonts w:hint="eastAsia" w:ascii="Times New Roman" w:hAnsi="Times New Roman" w:eastAsia="仿宋_GB2312"/>
          <w:color w:val="000000" w:themeColor="text1"/>
          <w:sz w:val="32"/>
          <w:szCs w:val="32"/>
        </w:rPr>
        <w:t>所规定的时限</w:t>
      </w:r>
      <w:r>
        <w:rPr>
          <w:rFonts w:ascii="Times New Roman" w:hAnsi="Times New Roman" w:eastAsia="仿宋_GB2312"/>
          <w:color w:val="000000" w:themeColor="text1"/>
          <w:sz w:val="32"/>
          <w:szCs w:val="32"/>
        </w:rPr>
        <w:t>范围内； 4.</w:t>
      </w:r>
      <w:r>
        <w:rPr>
          <w:rFonts w:hint="eastAsia" w:ascii="Times New Roman" w:hAnsi="Times New Roman" w:eastAsia="仿宋_GB2312"/>
          <w:color w:val="000000" w:themeColor="text1"/>
          <w:sz w:val="32"/>
          <w:szCs w:val="32"/>
        </w:rPr>
        <w:t xml:space="preserve"> </w:t>
      </w:r>
      <w:r>
        <w:rPr>
          <w:rFonts w:ascii="Times New Roman" w:hAnsi="Times New Roman" w:eastAsia="仿宋_GB2312"/>
          <w:color w:val="000000" w:themeColor="text1"/>
          <w:sz w:val="32"/>
          <w:szCs w:val="32"/>
        </w:rPr>
        <w:t>所有成果在各类奖学金评定中不能重复使用。</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第十一条</w:t>
      </w:r>
      <w:r>
        <w:rPr>
          <w:rFonts w:ascii="Times New Roman" w:hAnsi="Times New Roman" w:eastAsia="仿宋_GB2312"/>
          <w:color w:val="000000" w:themeColor="text1"/>
          <w:sz w:val="32"/>
          <w:szCs w:val="32"/>
        </w:rPr>
        <w:t xml:space="preserve">  SCI文章认定依据以加盖贵州大学图书馆公章的检索报告为准，按中科院SCI期刊分区表基础版认定。</w:t>
      </w:r>
    </w:p>
    <w:p>
      <w:pPr>
        <w:spacing w:line="520" w:lineRule="exact"/>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    第十二条  </w:t>
      </w:r>
      <w:r>
        <w:rPr>
          <w:rFonts w:ascii="Times New Roman" w:hAnsi="Times New Roman" w:eastAsia="仿宋_GB2312"/>
          <w:color w:val="000000" w:themeColor="text1"/>
          <w:sz w:val="32"/>
          <w:szCs w:val="32"/>
        </w:rPr>
        <w:t xml:space="preserve">中文核心的判定依据为中国知网（CNKI）“期刊大全” 中“核心期刊导航”为准，增刊不列入核心期刊。 </w:t>
      </w:r>
    </w:p>
    <w:p>
      <w:pPr>
        <w:spacing w:line="520" w:lineRule="exact"/>
        <w:ind w:firstLine="645"/>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第十三条</w:t>
      </w:r>
      <w:r>
        <w:rPr>
          <w:rFonts w:ascii="Times New Roman" w:hAnsi="Times New Roman" w:eastAsia="仿宋_GB2312"/>
          <w:color w:val="000000" w:themeColor="text1"/>
          <w:sz w:val="32"/>
          <w:szCs w:val="32"/>
        </w:rPr>
        <w:t xml:space="preserve">  中国“互联网+”大学生创新创业大赛、“挑战杯”全国大学生课外学术科技作品竞赛、“挑战杯”中国大学生创业计划大赛、“外研社杯”全国英语演讲大赛、全国研究生数学建模竞赛、全国研究生电子设计竞赛等</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中国高等教育学会公布的全国普通高等学校竞赛项目，视为国家级奖项，其对应的省级（地区）竞赛视为省部级。</w:t>
      </w:r>
    </w:p>
    <w:p>
      <w:pPr>
        <w:widowControl/>
        <w:shd w:val="clear" w:color="auto" w:fill="FFFFFF"/>
        <w:spacing w:line="360" w:lineRule="auto"/>
        <w:ind w:firstLine="639" w:firstLineChars="199"/>
        <w:rPr>
          <w:rFonts w:ascii="Times New Roman" w:hAnsi="Times New Roman" w:eastAsia="仿宋_GB2312"/>
          <w:color w:val="000000" w:themeColor="text1"/>
          <w:sz w:val="32"/>
          <w:szCs w:val="32"/>
        </w:rPr>
      </w:pPr>
      <w:r>
        <w:rPr>
          <w:rFonts w:ascii="Times New Roman" w:hAnsi="Times New Roman" w:eastAsia="仿宋_GB2312"/>
          <w:b/>
          <w:color w:val="000000" w:themeColor="text1"/>
          <w:sz w:val="32"/>
          <w:szCs w:val="32"/>
        </w:rPr>
        <w:t xml:space="preserve">第十四条 </w:t>
      </w:r>
      <w:r>
        <w:rPr>
          <w:rFonts w:ascii="Times New Roman" w:hAnsi="Times New Roman" w:eastAsia="仿宋_GB2312"/>
          <w:color w:val="000000" w:themeColor="text1"/>
          <w:sz w:val="32"/>
          <w:szCs w:val="32"/>
        </w:rPr>
        <w:t>科研（学术）成果综合测评具体包括科研(学术)奖励、学术论文(专著)、专利、科研项目等四个方面。</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643" w:firstLineChars="200"/>
        <w:jc w:val="both"/>
        <w:textAlignment w:val="auto"/>
        <w:rPr>
          <w:rFonts w:ascii="Times New Roman" w:hAnsi="Times New Roman" w:eastAsia="仿宋_GB2312"/>
          <w:b/>
          <w:color w:val="000000" w:themeColor="text1"/>
          <w:sz w:val="32"/>
          <w:szCs w:val="32"/>
        </w:rPr>
      </w:pPr>
      <w:r>
        <w:rPr>
          <w:rFonts w:ascii="Times New Roman" w:hAnsi="Times New Roman" w:eastAsia="仿宋_GB2312"/>
          <w:b/>
          <w:bCs/>
          <w:color w:val="000000" w:themeColor="text1"/>
          <w:sz w:val="32"/>
          <w:szCs w:val="32"/>
        </w:rPr>
        <w:t>1.</w:t>
      </w:r>
      <w:r>
        <w:rPr>
          <w:rFonts w:hint="eastAsia" w:ascii="Times New Roman" w:hAnsi="Times New Roman" w:eastAsia="仿宋_GB2312"/>
          <w:b/>
          <w:bCs/>
          <w:color w:val="000000" w:themeColor="text1"/>
          <w:sz w:val="32"/>
          <w:szCs w:val="32"/>
        </w:rPr>
        <w:t xml:space="preserve"> </w:t>
      </w:r>
      <w:r>
        <w:rPr>
          <w:rFonts w:ascii="Times New Roman" w:hAnsi="Times New Roman" w:eastAsia="仿宋_GB2312"/>
          <w:b/>
          <w:bCs/>
          <w:color w:val="000000" w:themeColor="text1"/>
          <w:sz w:val="32"/>
          <w:szCs w:val="32"/>
        </w:rPr>
        <w:t>科研(学术)奖励计分标准</w:t>
      </w:r>
      <w:r>
        <w:rPr>
          <w:rFonts w:ascii="Times New Roman" w:hAnsi="Times New Roman" w:eastAsia="仿宋_GB2312"/>
          <w:b/>
          <w:color w:val="000000" w:themeColor="text1"/>
          <w:sz w:val="32"/>
          <w:szCs w:val="32"/>
        </w:rPr>
        <w:t>（单位：分/项）</w:t>
      </w:r>
    </w:p>
    <w:tbl>
      <w:tblPr>
        <w:tblStyle w:val="5"/>
        <w:tblW w:w="0" w:type="auto"/>
        <w:jc w:val="center"/>
        <w:tblLayout w:type="fixed"/>
        <w:tblCellMar>
          <w:top w:w="0" w:type="dxa"/>
          <w:left w:w="0" w:type="dxa"/>
          <w:bottom w:w="0" w:type="dxa"/>
          <w:right w:w="0" w:type="dxa"/>
        </w:tblCellMar>
      </w:tblPr>
      <w:tblGrid>
        <w:gridCol w:w="2194"/>
        <w:gridCol w:w="1358"/>
        <w:gridCol w:w="1359"/>
        <w:gridCol w:w="1359"/>
        <w:gridCol w:w="1359"/>
      </w:tblGrid>
      <w:tr>
        <w:tblPrEx>
          <w:tblCellMar>
            <w:top w:w="0" w:type="dxa"/>
            <w:left w:w="0" w:type="dxa"/>
            <w:bottom w:w="0" w:type="dxa"/>
            <w:right w:w="0" w:type="dxa"/>
          </w:tblCellMar>
        </w:tblPrEx>
        <w:trPr>
          <w:trHeight w:val="1134" w:hRule="atLeast"/>
          <w:jc w:val="center"/>
        </w:trPr>
        <w:tc>
          <w:tcPr>
            <w:tcW w:w="219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val="0"/>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获奖级别</w:t>
            </w:r>
          </w:p>
          <w:p>
            <w:pPr>
              <w:widowControl/>
              <w:spacing w:line="360" w:lineRule="auto"/>
              <w:ind w:firstLine="235"/>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等次</w:t>
            </w:r>
          </w:p>
        </w:tc>
        <w:tc>
          <w:tcPr>
            <w:tcW w:w="13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一等奖</w:t>
            </w:r>
          </w:p>
        </w:tc>
        <w:tc>
          <w:tcPr>
            <w:tcW w:w="135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二等奖</w:t>
            </w:r>
          </w:p>
        </w:tc>
        <w:tc>
          <w:tcPr>
            <w:tcW w:w="135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三等奖</w:t>
            </w:r>
          </w:p>
        </w:tc>
        <w:tc>
          <w:tcPr>
            <w:tcW w:w="1359" w:type="dxa"/>
            <w:tcBorders>
              <w:top w:val="single" w:color="auto" w:sz="8" w:space="0"/>
              <w:left w:val="nil"/>
              <w:bottom w:val="single" w:color="auto" w:sz="8" w:space="0"/>
              <w:right w:val="single" w:color="auto" w:sz="8" w:space="0"/>
            </w:tcBorders>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其它</w:t>
            </w:r>
          </w:p>
        </w:tc>
      </w:tr>
      <w:tr>
        <w:tblPrEx>
          <w:tblCellMar>
            <w:top w:w="0" w:type="dxa"/>
            <w:left w:w="0" w:type="dxa"/>
            <w:bottom w:w="0" w:type="dxa"/>
            <w:right w:w="0" w:type="dxa"/>
          </w:tblCellMar>
        </w:tblPrEx>
        <w:trPr>
          <w:trHeight w:val="421" w:hRule="atLeast"/>
          <w:jc w:val="center"/>
        </w:trPr>
        <w:tc>
          <w:tcPr>
            <w:tcW w:w="219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国家级</w:t>
            </w:r>
          </w:p>
        </w:tc>
        <w:tc>
          <w:tcPr>
            <w:tcW w:w="13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150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w:t>
            </w:r>
          </w:p>
        </w:tc>
        <w:tc>
          <w:tcPr>
            <w:tcW w:w="1359" w:type="dxa"/>
            <w:tcBorders>
              <w:top w:val="nil"/>
              <w:left w:val="nil"/>
              <w:bottom w:val="single" w:color="auto" w:sz="8" w:space="0"/>
              <w:right w:val="single" w:color="auto" w:sz="8" w:space="0"/>
            </w:tcBorders>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r>
      <w:tr>
        <w:tblPrEx>
          <w:tblCellMar>
            <w:top w:w="0" w:type="dxa"/>
            <w:left w:w="0" w:type="dxa"/>
            <w:bottom w:w="0" w:type="dxa"/>
            <w:right w:w="0" w:type="dxa"/>
          </w:tblCellMar>
        </w:tblPrEx>
        <w:trPr>
          <w:trHeight w:val="421" w:hRule="atLeast"/>
          <w:jc w:val="center"/>
        </w:trPr>
        <w:tc>
          <w:tcPr>
            <w:tcW w:w="219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省部级</w:t>
            </w:r>
          </w:p>
        </w:tc>
        <w:tc>
          <w:tcPr>
            <w:tcW w:w="13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70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c>
          <w:tcPr>
            <w:tcW w:w="1359" w:type="dxa"/>
            <w:tcBorders>
              <w:top w:val="nil"/>
              <w:left w:val="nil"/>
              <w:bottom w:val="single" w:color="auto" w:sz="8" w:space="0"/>
              <w:right w:val="single" w:color="auto" w:sz="8" w:space="0"/>
            </w:tcBorders>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w:t>
            </w:r>
          </w:p>
        </w:tc>
      </w:tr>
      <w:tr>
        <w:tblPrEx>
          <w:tblCellMar>
            <w:top w:w="0" w:type="dxa"/>
            <w:left w:w="0" w:type="dxa"/>
            <w:bottom w:w="0" w:type="dxa"/>
            <w:right w:w="0" w:type="dxa"/>
          </w:tblCellMar>
        </w:tblPrEx>
        <w:trPr>
          <w:trHeight w:val="217" w:hRule="atLeast"/>
          <w:jc w:val="center"/>
        </w:trPr>
        <w:tc>
          <w:tcPr>
            <w:tcW w:w="219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市级（校级））</w:t>
            </w:r>
          </w:p>
        </w:tc>
        <w:tc>
          <w:tcPr>
            <w:tcW w:w="13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30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c>
          <w:tcPr>
            <w:tcW w:w="13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w:t>
            </w:r>
          </w:p>
        </w:tc>
        <w:tc>
          <w:tcPr>
            <w:tcW w:w="1359" w:type="dxa"/>
            <w:tcBorders>
              <w:top w:val="nil"/>
              <w:left w:val="nil"/>
              <w:bottom w:val="single" w:color="auto" w:sz="8" w:space="0"/>
              <w:right w:val="single" w:color="auto" w:sz="8" w:space="0"/>
            </w:tcBorders>
            <w:vAlign w:val="center"/>
          </w:tcPr>
          <w:p>
            <w:pPr>
              <w:widowControl/>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5</w:t>
            </w:r>
          </w:p>
        </w:tc>
      </w:tr>
    </w:tbl>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注：（1）科研获奖的第一署名单位必须为贵州大学；</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2）基于表中科研(学术)奖励是针对科技进步奖和科技发明奖类奖项设定的，申报参评的科研或学术成果竞赛奖积分按表中相应奖励类别的1/2计分；参加各类学术会议按随后规定积分，即国际学术会议中所获得的相关奖励对应于国家级相应等次，国家一级学会主办的国内学术会议中所获得的相关奖励对应省部级奖项相应等次分值的1/2计分</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3）根据研究生在科研获奖证书中的获奖排名情况，排名每递减一位则相应减去20%的分值，以此类推。如研究生在科研获奖证书中的排名在第六位及以后均按照5%的分值进行参评。科研获奖分值可累加，但不能重复使用</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（4）所有科研(学术)成果获奖分值可累加，同一成果在学期间只能参评一次</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（5）同一科学研究、学术成果在本参评年度申报不同类别形式并多次获奖的情形（例如参加环保大赛、节能减排竞赛、挑战杯竞赛等竞赛），以所获最高奖项进行参评，但不能重复使用</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（6）获奖材料</w:t>
      </w:r>
      <w:r>
        <w:rPr>
          <w:rFonts w:hint="eastAsia" w:ascii="Times New Roman" w:hAnsi="Times New Roman" w:eastAsia="仿宋_GB2312"/>
          <w:color w:val="000000" w:themeColor="text1"/>
          <w:sz w:val="28"/>
          <w:szCs w:val="28"/>
        </w:rPr>
        <w:t>依据</w:t>
      </w:r>
      <w:r>
        <w:rPr>
          <w:rFonts w:ascii="Times New Roman" w:hAnsi="Times New Roman" w:eastAsia="仿宋_GB2312"/>
          <w:color w:val="000000" w:themeColor="text1"/>
          <w:sz w:val="28"/>
          <w:szCs w:val="28"/>
        </w:rPr>
        <w:t>获奖证书或者赛事官方公示</w:t>
      </w:r>
      <w:r>
        <w:rPr>
          <w:rFonts w:hint="eastAsia" w:ascii="Times New Roman" w:hAnsi="Times New Roman" w:eastAsia="仿宋_GB2312"/>
          <w:color w:val="000000" w:themeColor="text1"/>
          <w:sz w:val="28"/>
          <w:szCs w:val="28"/>
        </w:rPr>
        <w:t>进行</w:t>
      </w:r>
      <w:r>
        <w:rPr>
          <w:rFonts w:ascii="Times New Roman" w:hAnsi="Times New Roman" w:eastAsia="仿宋_GB2312"/>
          <w:color w:val="000000" w:themeColor="text1"/>
          <w:sz w:val="28"/>
          <w:szCs w:val="28"/>
        </w:rPr>
        <w:t>认定，同一奖项只能使用一次</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b/>
          <w:bCs/>
          <w:color w:val="000000" w:themeColor="text1"/>
          <w:sz w:val="28"/>
          <w:szCs w:val="28"/>
        </w:rPr>
      </w:pPr>
      <w:r>
        <w:rPr>
          <w:rFonts w:ascii="Times New Roman" w:hAnsi="Times New Roman" w:eastAsia="仿宋_GB2312"/>
          <w:b/>
          <w:bCs/>
          <w:color w:val="000000" w:themeColor="text1"/>
          <w:sz w:val="28"/>
          <w:szCs w:val="28"/>
        </w:rPr>
        <w:t>2.</w:t>
      </w:r>
      <w:r>
        <w:rPr>
          <w:rFonts w:hint="eastAsia" w:ascii="Times New Roman" w:hAnsi="Times New Roman" w:eastAsia="仿宋_GB2312"/>
          <w:b/>
          <w:bCs/>
          <w:color w:val="000000" w:themeColor="text1"/>
          <w:sz w:val="28"/>
          <w:szCs w:val="28"/>
        </w:rPr>
        <w:t xml:space="preserve"> </w:t>
      </w:r>
      <w:r>
        <w:rPr>
          <w:rFonts w:ascii="Times New Roman" w:hAnsi="Times New Roman" w:eastAsia="仿宋_GB2312"/>
          <w:b/>
          <w:bCs/>
          <w:color w:val="000000" w:themeColor="text1"/>
          <w:sz w:val="32"/>
          <w:szCs w:val="32"/>
        </w:rPr>
        <w:t>学术论文(专著)计分标准</w:t>
      </w:r>
      <w:r>
        <w:rPr>
          <w:rFonts w:ascii="Times New Roman" w:hAnsi="Times New Roman" w:eastAsia="仿宋_GB2312"/>
          <w:b/>
          <w:color w:val="000000" w:themeColor="text1"/>
          <w:sz w:val="32"/>
          <w:szCs w:val="32"/>
        </w:rPr>
        <w:t>（单位：分/项）</w:t>
      </w:r>
    </w:p>
    <w:tbl>
      <w:tblPr>
        <w:tblStyle w:val="5"/>
        <w:tblW w:w="0" w:type="auto"/>
        <w:jc w:val="center"/>
        <w:tblLayout w:type="fixed"/>
        <w:tblCellMar>
          <w:top w:w="0" w:type="dxa"/>
          <w:left w:w="0" w:type="dxa"/>
          <w:bottom w:w="0" w:type="dxa"/>
          <w:right w:w="0" w:type="dxa"/>
        </w:tblCellMar>
      </w:tblPr>
      <w:tblGrid>
        <w:gridCol w:w="1464"/>
        <w:gridCol w:w="5308"/>
        <w:gridCol w:w="1750"/>
      </w:tblGrid>
      <w:tr>
        <w:tblPrEx>
          <w:tblCellMar>
            <w:top w:w="0" w:type="dxa"/>
            <w:left w:w="0" w:type="dxa"/>
            <w:bottom w:w="0" w:type="dxa"/>
            <w:right w:w="0" w:type="dxa"/>
          </w:tblCellMar>
        </w:tblPrEx>
        <w:trPr>
          <w:trHeight w:val="452" w:hRule="atLeast"/>
          <w:jc w:val="center"/>
        </w:trPr>
        <w:tc>
          <w:tcPr>
            <w:tcW w:w="146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论文级别</w:t>
            </w:r>
          </w:p>
        </w:tc>
        <w:tc>
          <w:tcPr>
            <w:tcW w:w="530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发表论文或被收录刊物级别</w:t>
            </w:r>
          </w:p>
        </w:tc>
        <w:tc>
          <w:tcPr>
            <w:tcW w:w="175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分值</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专著</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正规出版社出版的与本专业相关的学术专著</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100～200</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一级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中科院SCI期刊分区表1区</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400</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二级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中科院SCI期刊分区表2区</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三级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中科院SCI期刊分区表3区</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四级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中科院SCI期刊分区表4区、EI源刊</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80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五级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中文核心期刊(限1篇)</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r>
      <w:tr>
        <w:tblPrEx>
          <w:tblCellMar>
            <w:top w:w="0" w:type="dxa"/>
            <w:left w:w="0" w:type="dxa"/>
            <w:bottom w:w="0" w:type="dxa"/>
            <w:right w:w="0" w:type="dxa"/>
          </w:tblCellMar>
        </w:tblPrEx>
        <w:trPr>
          <w:trHeight w:val="457" w:hRule="atLeast"/>
          <w:jc w:val="center"/>
        </w:trPr>
        <w:tc>
          <w:tcPr>
            <w:tcW w:w="1464"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六级</w:t>
            </w:r>
          </w:p>
        </w:tc>
        <w:tc>
          <w:tcPr>
            <w:tcW w:w="530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贵州大学《硕博论坛》(限1篇)</w:t>
            </w:r>
          </w:p>
        </w:tc>
        <w:tc>
          <w:tcPr>
            <w:tcW w:w="1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r>
    </w:tbl>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注：（1）发表论文、专著等第一署名单位必须为贵州大学，按照表中相应期刊级别分值加分；SCI期刊分区以当年中科院分区基础版为准</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b/>
          <w:bCs/>
          <w:color w:val="000000" w:themeColor="text1"/>
          <w:sz w:val="28"/>
          <w:szCs w:val="28"/>
        </w:rPr>
      </w:pPr>
      <w:r>
        <w:rPr>
          <w:rFonts w:ascii="Times New Roman" w:hAnsi="Times New Roman" w:eastAsia="仿宋_GB2312"/>
          <w:color w:val="000000" w:themeColor="text1"/>
          <w:sz w:val="28"/>
          <w:szCs w:val="28"/>
        </w:rPr>
        <w:t>（2）奖学金评定中，自然科学类参评者须为第一作者或唯一通讯作者</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（3）发表科研论文的分值可累加，但不能重复使用；</w:t>
      </w:r>
    </w:p>
    <w:p>
      <w:pPr>
        <w:widowControl/>
        <w:shd w:val="clear" w:color="auto" w:fill="FFFFFF"/>
        <w:spacing w:line="360" w:lineRule="auto"/>
        <w:ind w:firstLine="420"/>
        <w:rPr>
          <w:rFonts w:hint="eastAsia"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（4）参评论文须在评定截止日前见刊或能查看网络版，论文内容与专业相关</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（5）中文核心的判定依据为中国知网（CNKI）“期刊大全” 中“核心期刊导航”为准，增刊不列入核心期刊</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一般学术期刊必须有正式刊号</w:t>
      </w:r>
      <w:r>
        <w:rPr>
          <w:rFonts w:hint="eastAsia" w:ascii="Times New Roman" w:hAnsi="Times New Roman" w:eastAsia="仿宋_GB2312"/>
          <w:color w:val="000000" w:themeColor="text1"/>
          <w:sz w:val="28"/>
          <w:szCs w:val="28"/>
        </w:rPr>
        <w:t>。</w:t>
      </w:r>
    </w:p>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 xml:space="preserve"> （6）综合测评总分相同的</w:t>
      </w:r>
      <w:r>
        <w:rPr>
          <w:rFonts w:hint="eastAsia" w:ascii="Times New Roman" w:hAnsi="Times New Roman" w:eastAsia="仿宋_GB2312"/>
          <w:color w:val="000000" w:themeColor="text1"/>
          <w:sz w:val="28"/>
          <w:szCs w:val="28"/>
        </w:rPr>
        <w:t>，</w:t>
      </w:r>
      <w:r>
        <w:rPr>
          <w:rFonts w:ascii="Times New Roman" w:hAnsi="Times New Roman" w:eastAsia="仿宋_GB2312"/>
          <w:color w:val="000000" w:themeColor="text1"/>
          <w:sz w:val="28"/>
          <w:szCs w:val="28"/>
        </w:rPr>
        <w:t>按</w:t>
      </w:r>
      <w:r>
        <w:rPr>
          <w:rFonts w:hint="eastAsia" w:ascii="Times New Roman" w:hAnsi="Times New Roman" w:eastAsia="仿宋_GB2312"/>
          <w:color w:val="000000" w:themeColor="text1"/>
          <w:sz w:val="28"/>
          <w:szCs w:val="28"/>
        </w:rPr>
        <w:t>论文</w:t>
      </w:r>
      <w:r>
        <w:rPr>
          <w:rFonts w:ascii="Times New Roman" w:hAnsi="Times New Roman" w:eastAsia="仿宋_GB2312"/>
          <w:color w:val="000000" w:themeColor="text1"/>
          <w:sz w:val="28"/>
          <w:szCs w:val="28"/>
        </w:rPr>
        <w:t>分区</w:t>
      </w:r>
      <w:r>
        <w:rPr>
          <w:rFonts w:hint="eastAsia" w:ascii="Times New Roman" w:hAnsi="Times New Roman" w:eastAsia="仿宋_GB2312"/>
          <w:color w:val="000000" w:themeColor="text1"/>
          <w:sz w:val="28"/>
          <w:szCs w:val="28"/>
        </w:rPr>
        <w:t>优先的原则，对相同分区的论文以</w:t>
      </w:r>
      <w:r>
        <w:rPr>
          <w:rFonts w:ascii="Times New Roman" w:hAnsi="Times New Roman" w:eastAsia="仿宋_GB2312"/>
          <w:color w:val="000000" w:themeColor="text1"/>
          <w:sz w:val="28"/>
          <w:szCs w:val="28"/>
        </w:rPr>
        <w:t>（最新）影响因子之和排序</w:t>
      </w:r>
      <w:r>
        <w:rPr>
          <w:rFonts w:hint="eastAsia" w:ascii="Times New Roman" w:hAnsi="Times New Roman" w:eastAsia="仿宋_GB2312"/>
          <w:color w:val="000000" w:themeColor="text1"/>
          <w:sz w:val="28"/>
          <w:szCs w:val="28"/>
        </w:rPr>
        <w:t>；</w:t>
      </w:r>
      <w:r>
        <w:rPr>
          <w:rFonts w:hint="default" w:ascii="Times New Roman" w:hAnsi="Times New Roman" w:eastAsia="仿宋_GB2312" w:cs="Times New Roman"/>
          <w:color w:val="000000" w:themeColor="text1"/>
          <w:sz w:val="28"/>
          <w:szCs w:val="28"/>
        </w:rPr>
        <w:t>论文级别为五级</w:t>
      </w:r>
      <w:r>
        <w:rPr>
          <w:rFonts w:hint="eastAsia" w:ascii="Times New Roman" w:hAnsi="Times New Roman" w:eastAsia="仿宋_GB2312" w:cs="Times New Roman"/>
          <w:color w:val="000000" w:themeColor="text1"/>
          <w:sz w:val="28"/>
          <w:szCs w:val="28"/>
          <w:lang w:eastAsia="zh-CN"/>
        </w:rPr>
        <w:t>的</w:t>
      </w:r>
      <w:r>
        <w:rPr>
          <w:rFonts w:hint="default" w:ascii="Times New Roman" w:hAnsi="Times New Roman" w:eastAsia="仿宋_GB2312" w:cs="Times New Roman"/>
          <w:color w:val="000000" w:themeColor="text1"/>
          <w:sz w:val="28"/>
          <w:szCs w:val="28"/>
          <w:lang w:val="en-US" w:eastAsia="zh-CN"/>
        </w:rPr>
        <w:t>仅限一篇</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六级</w:t>
      </w:r>
      <w:r>
        <w:rPr>
          <w:rFonts w:hint="default" w:ascii="Times New Roman" w:hAnsi="Times New Roman" w:eastAsia="仿宋_GB2312" w:cs="Times New Roman"/>
          <w:color w:val="000000" w:themeColor="text1"/>
          <w:sz w:val="28"/>
          <w:szCs w:val="28"/>
          <w:lang w:val="en-US" w:eastAsia="zh-CN"/>
        </w:rPr>
        <w:t>论文</w:t>
      </w:r>
      <w:r>
        <w:rPr>
          <w:rFonts w:hint="default" w:ascii="Times New Roman" w:hAnsi="Times New Roman" w:eastAsia="仿宋_GB2312" w:cs="Times New Roman"/>
          <w:color w:val="000000" w:themeColor="text1"/>
          <w:sz w:val="28"/>
          <w:szCs w:val="28"/>
        </w:rPr>
        <w:t>限一篇，如遇综合测评总分相同的，</w:t>
      </w:r>
      <w:r>
        <w:rPr>
          <w:rFonts w:hint="eastAsia" w:ascii="Times New Roman" w:hAnsi="Times New Roman" w:eastAsia="仿宋_GB2312"/>
          <w:color w:val="000000" w:themeColor="text1"/>
          <w:sz w:val="28"/>
          <w:szCs w:val="28"/>
        </w:rPr>
        <w:t>按照论文级别优先的原则，对相同级别的论文以</w:t>
      </w:r>
      <w:r>
        <w:rPr>
          <w:rFonts w:ascii="Times New Roman" w:hAnsi="Times New Roman" w:eastAsia="仿宋_GB2312"/>
          <w:color w:val="000000" w:themeColor="text1"/>
          <w:sz w:val="28"/>
          <w:szCs w:val="28"/>
        </w:rPr>
        <w:t>数量优先排序。</w:t>
      </w:r>
    </w:p>
    <w:p>
      <w:pPr>
        <w:widowControl/>
        <w:shd w:val="clear" w:color="auto" w:fill="FFFFFF"/>
        <w:spacing w:line="360" w:lineRule="auto"/>
        <w:ind w:firstLine="420"/>
        <w:rPr>
          <w:rFonts w:ascii="Times New Roman" w:hAnsi="Times New Roman" w:eastAsia="仿宋_GB2312"/>
          <w:b/>
          <w:bCs/>
          <w:color w:val="000000" w:themeColor="text1"/>
          <w:sz w:val="28"/>
          <w:szCs w:val="28"/>
        </w:rPr>
      </w:pPr>
      <w:r>
        <w:rPr>
          <w:rFonts w:ascii="Times New Roman" w:hAnsi="Times New Roman" w:eastAsia="仿宋_GB2312"/>
          <w:b/>
          <w:bCs/>
          <w:color w:val="000000" w:themeColor="text1"/>
          <w:sz w:val="28"/>
          <w:szCs w:val="28"/>
        </w:rPr>
        <w:t>3.</w:t>
      </w:r>
      <w:r>
        <w:rPr>
          <w:rFonts w:ascii="Times New Roman" w:hAnsi="Times New Roman" w:eastAsia="宋体-18030"/>
          <w:b/>
          <w:bCs/>
          <w:color w:val="000000" w:themeColor="text1"/>
          <w:kern w:val="0"/>
          <w:szCs w:val="24"/>
        </w:rPr>
        <w:t> </w:t>
      </w:r>
      <w:r>
        <w:rPr>
          <w:rFonts w:ascii="Times New Roman" w:hAnsi="Times New Roman" w:eastAsia="仿宋_GB2312"/>
          <w:b/>
          <w:bCs/>
          <w:color w:val="000000" w:themeColor="text1"/>
          <w:sz w:val="32"/>
          <w:szCs w:val="32"/>
        </w:rPr>
        <w:t>专利具体评价标准</w:t>
      </w:r>
      <w:r>
        <w:rPr>
          <w:rFonts w:ascii="Times New Roman" w:hAnsi="Times New Roman" w:eastAsia="仿宋_GB2312"/>
          <w:b/>
          <w:color w:val="000000" w:themeColor="text1"/>
          <w:sz w:val="32"/>
          <w:szCs w:val="32"/>
        </w:rPr>
        <w:t>（单位：分/项）</w:t>
      </w:r>
    </w:p>
    <w:tbl>
      <w:tblPr>
        <w:tblStyle w:val="5"/>
        <w:tblW w:w="0" w:type="auto"/>
        <w:jc w:val="center"/>
        <w:tblLayout w:type="fixed"/>
        <w:tblCellMar>
          <w:top w:w="0" w:type="dxa"/>
          <w:left w:w="0" w:type="dxa"/>
          <w:bottom w:w="0" w:type="dxa"/>
          <w:right w:w="0" w:type="dxa"/>
        </w:tblCellMar>
      </w:tblPr>
      <w:tblGrid>
        <w:gridCol w:w="6456"/>
        <w:gridCol w:w="2066"/>
      </w:tblGrid>
      <w:tr>
        <w:tblPrEx>
          <w:tblCellMar>
            <w:top w:w="0" w:type="dxa"/>
            <w:left w:w="0" w:type="dxa"/>
            <w:bottom w:w="0" w:type="dxa"/>
            <w:right w:w="0" w:type="dxa"/>
          </w:tblCellMar>
        </w:tblPrEx>
        <w:trPr>
          <w:trHeight w:val="452" w:hRule="atLeast"/>
          <w:jc w:val="center"/>
        </w:trPr>
        <w:tc>
          <w:tcPr>
            <w:tcW w:w="645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专利情况</w:t>
            </w:r>
          </w:p>
        </w:tc>
        <w:tc>
          <w:tcPr>
            <w:tcW w:w="20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分值</w:t>
            </w:r>
          </w:p>
        </w:tc>
      </w:tr>
      <w:tr>
        <w:tblPrEx>
          <w:tblCellMar>
            <w:top w:w="0" w:type="dxa"/>
            <w:left w:w="0" w:type="dxa"/>
            <w:bottom w:w="0" w:type="dxa"/>
            <w:right w:w="0" w:type="dxa"/>
          </w:tblCellMar>
        </w:tblPrEx>
        <w:trPr>
          <w:trHeight w:val="459" w:hRule="atLeast"/>
          <w:jc w:val="center"/>
        </w:trPr>
        <w:tc>
          <w:tcPr>
            <w:tcW w:w="645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获授权国家发明专利</w:t>
            </w:r>
          </w:p>
        </w:tc>
        <w:tc>
          <w:tcPr>
            <w:tcW w:w="206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100</w:t>
            </w:r>
          </w:p>
        </w:tc>
      </w:tr>
      <w:tr>
        <w:tblPrEx>
          <w:tblCellMar>
            <w:top w:w="0" w:type="dxa"/>
            <w:left w:w="0" w:type="dxa"/>
            <w:bottom w:w="0" w:type="dxa"/>
            <w:right w:w="0" w:type="dxa"/>
          </w:tblCellMar>
        </w:tblPrEx>
        <w:trPr>
          <w:trHeight w:val="459" w:hRule="atLeast"/>
          <w:jc w:val="center"/>
        </w:trPr>
        <w:tc>
          <w:tcPr>
            <w:tcW w:w="645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申请国家发明专利（限一项）</w:t>
            </w:r>
          </w:p>
        </w:tc>
        <w:tc>
          <w:tcPr>
            <w:tcW w:w="206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r>
    </w:tbl>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注：（1）获授权国家发明专利需以贵州大学为第一署名单位，按作者排名情况，排名每递减一位相应减去20%，以此类推。如研究生的排名在第六位及以后均按照5%进行参评，分值可累加，但不能重复使用；</w:t>
      </w:r>
    </w:p>
    <w:p>
      <w:pPr>
        <w:widowControl/>
        <w:numPr>
          <w:ilvl w:val="0"/>
          <w:numId w:val="2"/>
        </w:numPr>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申请国家发明专利，需以贵州大学为第一署名单位，同时提供申请号备查。按作者排名情况，排名每递减一位相应减去20%，以此类推。如研究生的排名在第六位及以后均按照5%进行参评，仅限一项。</w:t>
      </w:r>
    </w:p>
    <w:p>
      <w:pPr>
        <w:widowControl/>
        <w:shd w:val="clear" w:color="auto" w:fill="FFFFFF"/>
        <w:spacing w:line="360" w:lineRule="auto"/>
        <w:ind w:firstLine="562" w:firstLineChars="200"/>
        <w:rPr>
          <w:rFonts w:ascii="Times New Roman" w:hAnsi="Times New Roman" w:eastAsia="仿宋_GB2312"/>
          <w:b/>
          <w:bCs/>
          <w:color w:val="000000" w:themeColor="text1"/>
          <w:sz w:val="28"/>
          <w:szCs w:val="28"/>
        </w:rPr>
      </w:pPr>
      <w:r>
        <w:rPr>
          <w:rFonts w:ascii="Times New Roman" w:hAnsi="Times New Roman" w:eastAsia="仿宋_GB2312"/>
          <w:b/>
          <w:bCs/>
          <w:color w:val="000000" w:themeColor="text1"/>
          <w:sz w:val="28"/>
          <w:szCs w:val="28"/>
        </w:rPr>
        <w:t>4.</w:t>
      </w:r>
      <w:r>
        <w:rPr>
          <w:rFonts w:ascii="Times New Roman" w:hAnsi="Times New Roman" w:eastAsia="仿宋_GB2312"/>
          <w:b/>
          <w:bCs/>
          <w:color w:val="000000" w:themeColor="text1"/>
          <w:sz w:val="32"/>
          <w:szCs w:val="32"/>
        </w:rPr>
        <w:t>科研项目</w:t>
      </w:r>
      <w:r>
        <w:rPr>
          <w:rFonts w:ascii="Times New Roman" w:hAnsi="Times New Roman" w:eastAsia="仿宋_GB2312"/>
          <w:b/>
          <w:color w:val="000000" w:themeColor="text1"/>
          <w:sz w:val="32"/>
          <w:szCs w:val="32"/>
        </w:rPr>
        <w:t>（单位：分/项）</w:t>
      </w:r>
    </w:p>
    <w:tbl>
      <w:tblPr>
        <w:tblStyle w:val="5"/>
        <w:tblW w:w="0" w:type="auto"/>
        <w:jc w:val="center"/>
        <w:tblLayout w:type="fixed"/>
        <w:tblCellMar>
          <w:top w:w="0" w:type="dxa"/>
          <w:left w:w="0" w:type="dxa"/>
          <w:bottom w:w="0" w:type="dxa"/>
          <w:right w:w="0" w:type="dxa"/>
        </w:tblCellMar>
      </w:tblPr>
      <w:tblGrid>
        <w:gridCol w:w="3787"/>
        <w:gridCol w:w="4735"/>
      </w:tblGrid>
      <w:tr>
        <w:tblPrEx>
          <w:tblCellMar>
            <w:top w:w="0" w:type="dxa"/>
            <w:left w:w="0" w:type="dxa"/>
            <w:bottom w:w="0" w:type="dxa"/>
            <w:right w:w="0" w:type="dxa"/>
          </w:tblCellMar>
        </w:tblPrEx>
        <w:trPr>
          <w:trHeight w:val="452" w:hRule="atLeast"/>
          <w:jc w:val="center"/>
        </w:trPr>
        <w:tc>
          <w:tcPr>
            <w:tcW w:w="37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科研项目级别</w:t>
            </w:r>
          </w:p>
        </w:tc>
        <w:tc>
          <w:tcPr>
            <w:tcW w:w="47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分值</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国家级</w:t>
            </w:r>
          </w:p>
        </w:tc>
        <w:tc>
          <w:tcPr>
            <w:tcW w:w="47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省部级</w:t>
            </w:r>
          </w:p>
        </w:tc>
        <w:tc>
          <w:tcPr>
            <w:tcW w:w="47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80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市级</w:t>
            </w:r>
          </w:p>
        </w:tc>
        <w:tc>
          <w:tcPr>
            <w:tcW w:w="47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40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校级</w:t>
            </w:r>
          </w:p>
        </w:tc>
        <w:tc>
          <w:tcPr>
            <w:tcW w:w="473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60" w:lineRule="auto"/>
              <w:ind w:firstLine="480"/>
              <w:jc w:val="cente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20</w:t>
            </w:r>
          </w:p>
        </w:tc>
      </w:tr>
    </w:tbl>
    <w:p>
      <w:pPr>
        <w:widowControl/>
        <w:shd w:val="clear" w:color="auto" w:fill="FFFFFF"/>
        <w:spacing w:line="360" w:lineRule="auto"/>
        <w:ind w:firstLine="420"/>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注：在以贵州大学为第一署名单位的各类项目中，以研究生为项目主持人的才能按相应级别计分，研究生为参与者（项目主持人也为研究生）按排序20%递减记分，第六名后均按照5%记分，项目计分限用一次。因发表论文获得奖励的创新基金类项目不计入内</w:t>
      </w:r>
      <w:r>
        <w:rPr>
          <w:rFonts w:hint="eastAsia" w:ascii="Times New Roman" w:hAnsi="Times New Roman" w:eastAsia="仿宋_GB2312"/>
          <w:color w:val="000000" w:themeColor="text1"/>
          <w:sz w:val="28"/>
          <w:szCs w:val="28"/>
        </w:rPr>
        <w:t>。</w:t>
      </w:r>
    </w:p>
    <w:p>
      <w:pPr>
        <w:jc w:val="center"/>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t>第六章 其他</w:t>
      </w:r>
    </w:p>
    <w:p>
      <w:pPr>
        <w:rPr>
          <w:rFonts w:ascii="Times New Roman" w:hAnsi="Times New Roman" w:eastAsia="仿宋_GB2312"/>
          <w:color w:val="000000" w:themeColor="text1"/>
          <w:sz w:val="32"/>
          <w:szCs w:val="32"/>
        </w:rPr>
      </w:pPr>
      <w:r>
        <w:rPr>
          <w:rFonts w:ascii="Times New Roman" w:hAnsi="Times New Roman" w:eastAsia="仿宋_GB2312"/>
          <w:color w:val="000000" w:themeColor="text1"/>
          <w:sz w:val="32"/>
          <w:szCs w:val="32"/>
        </w:rPr>
        <w:t>第十五条：百分制成绩转化公式：</w:t>
      </w:r>
    </w:p>
    <w:p>
      <w:pPr>
        <w:jc w:val="center"/>
        <w:rPr>
          <w:rFonts w:ascii="Times New Roman" w:hAnsi="Times New Roman" w:eastAsia="仿宋_GB2312"/>
          <w:b/>
          <w:color w:val="000000" w:themeColor="text1"/>
          <w:sz w:val="32"/>
          <w:szCs w:val="32"/>
        </w:rPr>
      </w:pPr>
      <w:r>
        <w:rPr>
          <w:rFonts w:ascii="Times New Roman" w:hAnsi="Times New Roman" w:eastAsia="仿宋_GB2312"/>
          <w:b/>
          <w:color w:val="000000" w:themeColor="text1"/>
          <w:sz w:val="32"/>
          <w:szCs w:val="32"/>
        </w:rPr>
        <w:drawing>
          <wp:inline distT="0" distB="0" distL="114300" distR="114300">
            <wp:extent cx="3352800" cy="640080"/>
            <wp:effectExtent l="0" t="0" r="0" b="7620"/>
            <wp:docPr id="1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9"/>
                    <pic:cNvPicPr>
                      <a:picLocks noChangeAspect="1"/>
                    </pic:cNvPicPr>
                  </pic:nvPicPr>
                  <pic:blipFill>
                    <a:blip r:embed="rId16" cstate="print"/>
                    <a:stretch>
                      <a:fillRect/>
                    </a:stretch>
                  </pic:blipFill>
                  <pic:spPr>
                    <a:xfrm>
                      <a:off x="0" y="0"/>
                      <a:ext cx="3352800" cy="640080"/>
                    </a:xfrm>
                    <a:prstGeom prst="rect">
                      <a:avLst/>
                    </a:prstGeom>
                    <a:noFill/>
                    <a:ln>
                      <a:noFill/>
                    </a:ln>
                  </pic:spPr>
                </pic:pic>
              </a:graphicData>
            </a:graphic>
          </wp:inline>
        </w:drawing>
      </w:r>
      <w:r>
        <w:rPr>
          <w:rFonts w:ascii="Times New Roman" w:hAnsi="Times New Roman" w:eastAsia="仿宋_GB2312"/>
          <w:b/>
          <w:color w:val="000000" w:themeColor="text1"/>
          <w:sz w:val="32"/>
          <w:szCs w:val="32"/>
        </w:rPr>
        <w:t xml:space="preserve"> </w:t>
      </w:r>
    </w:p>
    <w:p>
      <w:pPr>
        <w:ind w:firstLine="560" w:firstLineChars="200"/>
        <w:jc w:val="left"/>
        <w:rPr>
          <w:rFonts w:ascii="Times New Roman" w:hAnsi="Times New Roman" w:eastAsia="仿宋_GB2312"/>
          <w:color w:val="000000" w:themeColor="text1"/>
          <w:sz w:val="28"/>
          <w:szCs w:val="28"/>
        </w:rPr>
      </w:pPr>
      <w:r>
        <w:rPr>
          <w:rFonts w:ascii="Times New Roman" w:hAnsi="Times New Roman" w:eastAsia="仿宋_GB2312"/>
          <w:color w:val="000000" w:themeColor="text1"/>
          <w:sz w:val="28"/>
          <w:szCs w:val="28"/>
        </w:rPr>
        <w:t>(A、B、C各项计分超过100分的以班级参评最大值为分母按此公式进行转化)</w:t>
      </w:r>
    </w:p>
    <w:p>
      <w:pPr>
        <w:jc w:val="center"/>
        <w:rPr>
          <w:rFonts w:ascii="Times New Roman" w:hAnsi="Times New Roman" w:eastAsia="楷体_GB2312"/>
          <w:b/>
          <w:color w:val="000000" w:themeColor="text1"/>
          <w:sz w:val="32"/>
          <w:szCs w:val="32"/>
        </w:rPr>
      </w:pPr>
      <w:r>
        <w:rPr>
          <w:rFonts w:ascii="Times New Roman" w:hAnsi="Times New Roman" w:eastAsia="楷体_GB2312"/>
          <w:b/>
          <w:color w:val="000000" w:themeColor="text1"/>
          <w:sz w:val="32"/>
          <w:szCs w:val="32"/>
        </w:rPr>
        <w:t>第七章  附  则</w:t>
      </w:r>
    </w:p>
    <w:p>
      <w:pPr>
        <w:spacing w:line="520" w:lineRule="exact"/>
        <w:rPr>
          <w:rFonts w:ascii="Times New Roman" w:hAnsi="Times New Roman" w:eastAsia="宋体-18030"/>
          <w:bCs/>
          <w:color w:val="000000" w:themeColor="text1"/>
          <w:kern w:val="0"/>
          <w:sz w:val="28"/>
          <w:szCs w:val="28"/>
        </w:rPr>
      </w:pPr>
      <w:r>
        <w:rPr>
          <w:rFonts w:ascii="Times New Roman" w:hAnsi="Times New Roman" w:eastAsia="仿宋_GB2312"/>
          <w:b/>
          <w:color w:val="000000" w:themeColor="text1"/>
          <w:sz w:val="32"/>
          <w:szCs w:val="32"/>
        </w:rPr>
        <w:t xml:space="preserve">    第十六条</w:t>
      </w:r>
      <w:r>
        <w:rPr>
          <w:rFonts w:ascii="Times New Roman" w:hAnsi="Times New Roman" w:eastAsia="仿宋_GB2312"/>
          <w:color w:val="000000" w:themeColor="text1"/>
          <w:sz w:val="32"/>
          <w:szCs w:val="32"/>
        </w:rPr>
        <w:t xml:space="preserve">  </w:t>
      </w:r>
      <w:r>
        <w:rPr>
          <w:rFonts w:ascii="Times New Roman" w:hAnsi="Times New Roman" w:eastAsia="宋体-18030"/>
          <w:bCs/>
          <w:color w:val="000000" w:themeColor="text1"/>
          <w:kern w:val="0"/>
          <w:sz w:val="28"/>
          <w:szCs w:val="28"/>
        </w:rPr>
        <w:t>本细则由化学与化工学院研究生奖学金评审小组负责解释。</w:t>
      </w:r>
    </w:p>
    <w:p>
      <w:pPr>
        <w:spacing w:line="360" w:lineRule="auto"/>
        <w:ind w:right="420"/>
        <w:rPr>
          <w:rFonts w:ascii="Times New Roman" w:hAnsi="Times New Roman" w:eastAsia="宋体-18030"/>
          <w:color w:val="000000" w:themeColor="text1"/>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18030">
    <w:altName w:val="宋体"/>
    <w:panose1 w:val="00000000000000000000"/>
    <w:charset w:val="86"/>
    <w:family w:val="modern"/>
    <w:pitch w:val="default"/>
    <w:sig w:usb0="00000000" w:usb1="00000000" w:usb2="000A005E"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9</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D56C7E"/>
    <w:multiLevelType w:val="singleLevel"/>
    <w:tmpl w:val="BDD56C7E"/>
    <w:lvl w:ilvl="0" w:tentative="0">
      <w:start w:val="2"/>
      <w:numFmt w:val="decimal"/>
      <w:suff w:val="nothing"/>
      <w:lvlText w:val="（%1）"/>
      <w:lvlJc w:val="left"/>
    </w:lvl>
  </w:abstractNum>
  <w:abstractNum w:abstractNumId="1">
    <w:nsid w:val="0A574CC5"/>
    <w:multiLevelType w:val="multilevel"/>
    <w:tmpl w:val="0A574CC5"/>
    <w:lvl w:ilvl="0" w:tentative="0">
      <w:start w:val="1"/>
      <w:numFmt w:val="japaneseCounting"/>
      <w:lvlText w:val="第%1章"/>
      <w:lvlJc w:val="left"/>
      <w:pPr>
        <w:ind w:left="4299" w:hanging="1180"/>
      </w:pPr>
      <w:rPr>
        <w:rFonts w:hint="eastAsia"/>
      </w:rPr>
    </w:lvl>
    <w:lvl w:ilvl="1" w:tentative="0">
      <w:start w:val="1"/>
      <w:numFmt w:val="lowerLetter"/>
      <w:lvlText w:val="%2)"/>
      <w:lvlJc w:val="left"/>
      <w:pPr>
        <w:ind w:left="4079" w:hanging="480"/>
      </w:pPr>
    </w:lvl>
    <w:lvl w:ilvl="2" w:tentative="0">
      <w:start w:val="1"/>
      <w:numFmt w:val="lowerRoman"/>
      <w:lvlText w:val="%3."/>
      <w:lvlJc w:val="right"/>
      <w:pPr>
        <w:ind w:left="4559" w:hanging="480"/>
      </w:pPr>
    </w:lvl>
    <w:lvl w:ilvl="3" w:tentative="0">
      <w:start w:val="1"/>
      <w:numFmt w:val="decimal"/>
      <w:lvlText w:val="%4."/>
      <w:lvlJc w:val="left"/>
      <w:pPr>
        <w:ind w:left="5039" w:hanging="480"/>
      </w:pPr>
    </w:lvl>
    <w:lvl w:ilvl="4" w:tentative="0">
      <w:start w:val="1"/>
      <w:numFmt w:val="lowerLetter"/>
      <w:lvlText w:val="%5)"/>
      <w:lvlJc w:val="left"/>
      <w:pPr>
        <w:ind w:left="5519" w:hanging="480"/>
      </w:pPr>
    </w:lvl>
    <w:lvl w:ilvl="5" w:tentative="0">
      <w:start w:val="1"/>
      <w:numFmt w:val="lowerRoman"/>
      <w:lvlText w:val="%6."/>
      <w:lvlJc w:val="right"/>
      <w:pPr>
        <w:ind w:left="5999" w:hanging="480"/>
      </w:pPr>
    </w:lvl>
    <w:lvl w:ilvl="6" w:tentative="0">
      <w:start w:val="1"/>
      <w:numFmt w:val="decimal"/>
      <w:lvlText w:val="%7."/>
      <w:lvlJc w:val="left"/>
      <w:pPr>
        <w:ind w:left="6479" w:hanging="480"/>
      </w:pPr>
    </w:lvl>
    <w:lvl w:ilvl="7" w:tentative="0">
      <w:start w:val="1"/>
      <w:numFmt w:val="lowerLetter"/>
      <w:lvlText w:val="%8)"/>
      <w:lvlJc w:val="left"/>
      <w:pPr>
        <w:ind w:left="6959" w:hanging="480"/>
      </w:pPr>
    </w:lvl>
    <w:lvl w:ilvl="8" w:tentative="0">
      <w:start w:val="1"/>
      <w:numFmt w:val="lowerRoman"/>
      <w:lvlText w:val="%9."/>
      <w:lvlJc w:val="right"/>
      <w:pPr>
        <w:ind w:left="7439"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A1AF1"/>
    <w:rsid w:val="00082DB2"/>
    <w:rsid w:val="001161BA"/>
    <w:rsid w:val="0013739D"/>
    <w:rsid w:val="001858C0"/>
    <w:rsid w:val="001C1F16"/>
    <w:rsid w:val="003D0E4B"/>
    <w:rsid w:val="005738FF"/>
    <w:rsid w:val="00576E50"/>
    <w:rsid w:val="00603283"/>
    <w:rsid w:val="00642A18"/>
    <w:rsid w:val="00670C79"/>
    <w:rsid w:val="007D5494"/>
    <w:rsid w:val="008C17FC"/>
    <w:rsid w:val="00A0598E"/>
    <w:rsid w:val="00A1681E"/>
    <w:rsid w:val="00AE4DE7"/>
    <w:rsid w:val="00BA1AF1"/>
    <w:rsid w:val="02000056"/>
    <w:rsid w:val="050D325F"/>
    <w:rsid w:val="05495B7E"/>
    <w:rsid w:val="096502AB"/>
    <w:rsid w:val="09EF32B7"/>
    <w:rsid w:val="0C211D10"/>
    <w:rsid w:val="0FA17F08"/>
    <w:rsid w:val="10C47F14"/>
    <w:rsid w:val="12D610C8"/>
    <w:rsid w:val="1A2757AE"/>
    <w:rsid w:val="1ED31537"/>
    <w:rsid w:val="2926441E"/>
    <w:rsid w:val="2CAB7F32"/>
    <w:rsid w:val="2D46384A"/>
    <w:rsid w:val="393F42D8"/>
    <w:rsid w:val="3BB97524"/>
    <w:rsid w:val="3E050069"/>
    <w:rsid w:val="3F9B21A5"/>
    <w:rsid w:val="4757300F"/>
    <w:rsid w:val="4FBB3383"/>
    <w:rsid w:val="67661773"/>
    <w:rsid w:val="6A0B5CD8"/>
    <w:rsid w:val="7068654C"/>
    <w:rsid w:val="70FF74AB"/>
    <w:rsid w:val="72401DD0"/>
    <w:rsid w:val="7FB57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rPr>
      <w:rFonts w:ascii="Times New Roman" w:hAnsi="Times New Roman"/>
      <w:sz w:val="30"/>
      <w:szCs w:val="24"/>
    </w:rPr>
  </w:style>
  <w:style w:type="paragraph" w:styleId="3">
    <w:name w:val="Balloon Text"/>
    <w:basedOn w:val="1"/>
    <w:link w:val="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彩色列表 - 强调文字颜色 11"/>
    <w:basedOn w:val="1"/>
    <w:qFormat/>
    <w:uiPriority w:val="34"/>
    <w:pPr>
      <w:ind w:firstLine="420" w:firstLineChars="200"/>
    </w:pPr>
  </w:style>
  <w:style w:type="character" w:customStyle="1" w:styleId="8">
    <w:name w:val="批注框文本 Char"/>
    <w:basedOn w:val="6"/>
    <w:link w:val="3"/>
    <w:qFormat/>
    <w:uiPriority w:val="0"/>
    <w:rPr>
      <w:rFonts w:ascii="Calibri" w:hAnsi="Calibri"/>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7.png"/><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757</Words>
  <Characters>4321</Characters>
  <Lines>36</Lines>
  <Paragraphs>10</Paragraphs>
  <TotalTime>1</TotalTime>
  <ScaleCrop>false</ScaleCrop>
  <LinksUpToDate>false</LinksUpToDate>
  <CharactersWithSpaces>5068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2020-11-05T02:47:00Z</dcterms:created>
  <dc:creator>Administrator</dc:creator>
  <cp:lastModifiedBy>Ⅹ~</cp:lastModifiedBy>
  <cp:lastPrinted>2020-11-05T07:56:00Z</cp:lastPrinted>
  <dcterms:modified xsi:type="dcterms:W3CDTF">2020-11-06T00:46:11Z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